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25F" w:rsidRDefault="00801491">
      <w:pPr>
        <w:rPr>
          <w:rtl/>
        </w:rPr>
      </w:pPr>
      <w:r>
        <w:rPr>
          <w:rFonts w:hint="cs"/>
          <w:rtl/>
        </w:rPr>
        <w:t xml:space="preserve">   </w:t>
      </w:r>
    </w:p>
    <w:p w:rsidR="001E55BD" w:rsidRDefault="00FD3EF6" w:rsidP="001E55BD">
      <w:pPr>
        <w:rPr>
          <w:rFonts w:hint="cs"/>
          <w:b/>
          <w:bCs/>
          <w:sz w:val="28"/>
          <w:szCs w:val="28"/>
          <w:rtl/>
        </w:rPr>
      </w:pPr>
      <w:r>
        <w:rPr>
          <w:rFonts w:hint="cs"/>
          <w:rtl/>
        </w:rPr>
        <w:t xml:space="preserve">                </w:t>
      </w:r>
      <w:bookmarkStart w:id="0" w:name="_GoBack"/>
      <w:bookmarkEnd w:id="0"/>
      <w:r w:rsidR="001E55BD">
        <w:rPr>
          <w:rFonts w:hint="cs"/>
          <w:rtl/>
        </w:rPr>
        <w:t xml:space="preserve"> </w:t>
      </w:r>
      <w:r w:rsidR="00801491" w:rsidRPr="00FD3EF6">
        <w:rPr>
          <w:rFonts w:hint="cs"/>
          <w:b/>
          <w:bCs/>
          <w:sz w:val="28"/>
          <w:szCs w:val="28"/>
          <w:rtl/>
        </w:rPr>
        <w:t>שליחת הזמנות התייצבות בבית הדין</w:t>
      </w:r>
      <w:r w:rsidR="001E55BD">
        <w:rPr>
          <w:rFonts w:hint="cs"/>
          <w:b/>
          <w:bCs/>
          <w:sz w:val="28"/>
          <w:szCs w:val="28"/>
          <w:rtl/>
        </w:rPr>
        <w:t>- דף קיג, א</w:t>
      </w:r>
    </w:p>
    <w:p w:rsidR="001E55BD" w:rsidRPr="00FD3EF6" w:rsidRDefault="001E55BD" w:rsidP="001E55BD">
      <w:pPr>
        <w:rPr>
          <w:b/>
          <w:bCs/>
          <w:sz w:val="28"/>
          <w:szCs w:val="28"/>
          <w:rtl/>
        </w:rPr>
      </w:pPr>
      <w:r>
        <w:rPr>
          <w:rFonts w:hint="cs"/>
          <w:b/>
          <w:bCs/>
          <w:sz w:val="28"/>
          <w:szCs w:val="28"/>
          <w:rtl/>
        </w:rPr>
        <w:t xml:space="preserve">                                </w:t>
      </w:r>
      <w:r>
        <w:rPr>
          <w:rFonts w:cs="Arial"/>
          <w:b/>
          <w:bCs/>
          <w:sz w:val="24"/>
          <w:szCs w:val="24"/>
          <w:rtl/>
        </w:rPr>
        <w:t>הרב משה חיים הר-נוי</w:t>
      </w:r>
    </w:p>
    <w:p w:rsidR="00F045EF" w:rsidRDefault="00F045EF">
      <w:pPr>
        <w:rPr>
          <w:sz w:val="24"/>
          <w:szCs w:val="24"/>
          <w:rtl/>
        </w:rPr>
      </w:pPr>
      <w:r>
        <w:rPr>
          <w:rFonts w:hint="cs"/>
          <w:sz w:val="24"/>
          <w:szCs w:val="24"/>
          <w:rtl/>
        </w:rPr>
        <w:t>במסכת בבא קמא (קיג, א) דנה הגמרא בנושא הזמנת הנתבע לדין. הגמרא אורת כי לא מזמינים את בעל הדין בניסן ובתשרי אבל שולחים הזמנה בניסן לתאריך "בתר יומי דניסן" ובתשרי לתאריך "בתר יומי דתשרי".</w:t>
      </w:r>
    </w:p>
    <w:p w:rsidR="00F045EF" w:rsidRDefault="00C866EF">
      <w:pPr>
        <w:rPr>
          <w:sz w:val="24"/>
          <w:szCs w:val="24"/>
          <w:rtl/>
        </w:rPr>
      </w:pPr>
      <w:r>
        <w:rPr>
          <w:rFonts w:hint="cs"/>
          <w:sz w:val="24"/>
          <w:szCs w:val="24"/>
          <w:rtl/>
        </w:rPr>
        <w:t xml:space="preserve">לגבי ניסן פירש </w:t>
      </w:r>
      <w:r w:rsidRPr="00C866EF">
        <w:rPr>
          <w:rFonts w:hint="cs"/>
          <w:b/>
          <w:bCs/>
          <w:sz w:val="24"/>
          <w:szCs w:val="24"/>
          <w:rtl/>
        </w:rPr>
        <w:t>רש"י</w:t>
      </w:r>
      <w:r>
        <w:rPr>
          <w:rFonts w:hint="cs"/>
          <w:sz w:val="24"/>
          <w:szCs w:val="24"/>
          <w:rtl/>
        </w:rPr>
        <w:t xml:space="preserve"> כי שולחים הזמנה בניסן כדי שיבוא באדם לדין באייר , אך לגבי תשרי לא פירש רש"י כלום. </w:t>
      </w:r>
    </w:p>
    <w:p w:rsidR="00C866EF" w:rsidRDefault="00C866EF">
      <w:pPr>
        <w:rPr>
          <w:sz w:val="24"/>
          <w:szCs w:val="24"/>
          <w:rtl/>
        </w:rPr>
      </w:pPr>
      <w:r>
        <w:rPr>
          <w:rFonts w:hint="cs"/>
          <w:sz w:val="24"/>
          <w:szCs w:val="24"/>
          <w:rtl/>
        </w:rPr>
        <w:t>אפשר לבאר את שתיקתו של רש"י בשני אופנים:</w:t>
      </w:r>
    </w:p>
    <w:p w:rsidR="00C866EF" w:rsidRDefault="00C866EF">
      <w:pPr>
        <w:rPr>
          <w:sz w:val="24"/>
          <w:szCs w:val="24"/>
          <w:rtl/>
        </w:rPr>
      </w:pPr>
      <w:r>
        <w:rPr>
          <w:rFonts w:hint="cs"/>
          <w:sz w:val="24"/>
          <w:szCs w:val="24"/>
          <w:rtl/>
        </w:rPr>
        <w:t xml:space="preserve">א. כיוון שכבר פירש את החלק הראשון של הגמרא , הוא הדין בחלק השני כלומר שולחים הזמנה בתשרי לדיון שיתקיים במרחשוון. </w:t>
      </w:r>
    </w:p>
    <w:p w:rsidR="00C866EF" w:rsidRDefault="00C866EF" w:rsidP="00C866EF">
      <w:pPr>
        <w:rPr>
          <w:sz w:val="24"/>
          <w:szCs w:val="24"/>
          <w:rtl/>
        </w:rPr>
      </w:pPr>
      <w:r>
        <w:rPr>
          <w:rFonts w:hint="cs"/>
          <w:sz w:val="24"/>
          <w:szCs w:val="24"/>
          <w:rtl/>
        </w:rPr>
        <w:t xml:space="preserve">ב. בניגוד לניסן שלא דנים כל החודש ולכן מזמינים לאייר, בתשרי דנים אחרי החג ולכן אפשר להזמין לדין לתאריכים שאחרי החג </w:t>
      </w:r>
    </w:p>
    <w:p w:rsidR="00C866EF" w:rsidRDefault="003F0AE7" w:rsidP="00C866EF">
      <w:pPr>
        <w:rPr>
          <w:sz w:val="24"/>
          <w:szCs w:val="24"/>
          <w:rtl/>
        </w:rPr>
      </w:pPr>
      <w:r>
        <w:rPr>
          <w:rFonts w:hint="cs"/>
          <w:sz w:val="24"/>
          <w:szCs w:val="24"/>
          <w:rtl/>
        </w:rPr>
        <w:t>יש להעיר מספר הערות בנושא:</w:t>
      </w:r>
    </w:p>
    <w:p w:rsidR="003F0AE7" w:rsidRDefault="003F0AE7" w:rsidP="003F0AE7">
      <w:pPr>
        <w:rPr>
          <w:sz w:val="24"/>
          <w:szCs w:val="24"/>
          <w:rtl/>
        </w:rPr>
      </w:pPr>
      <w:r>
        <w:rPr>
          <w:rFonts w:hint="cs"/>
          <w:sz w:val="24"/>
          <w:szCs w:val="24"/>
          <w:rtl/>
        </w:rPr>
        <w:t xml:space="preserve">1. </w:t>
      </w:r>
      <w:r w:rsidRPr="003F0AE7">
        <w:rPr>
          <w:rFonts w:hint="cs"/>
          <w:b/>
          <w:bCs/>
          <w:sz w:val="24"/>
          <w:szCs w:val="24"/>
          <w:rtl/>
        </w:rPr>
        <w:t>רבי מאיר מסקרסטה</w:t>
      </w:r>
      <w:r>
        <w:rPr>
          <w:rFonts w:hint="cs"/>
          <w:sz w:val="24"/>
          <w:szCs w:val="24"/>
          <w:rtl/>
        </w:rPr>
        <w:t xml:space="preserve"> (מובא בשיטה מקובצת) אומר כי רש"י מסביר כי חודש ניסן היה חודש הקציר וחודש תשרי חודש האסיף ולכן קבעה הגמרא כי אין להזמין אדם לדין בחודשים הללו. אך ההלכה הזו משתנה לפי המקומות השונים </w:t>
      </w:r>
    </w:p>
    <w:p w:rsidR="003F0AE7" w:rsidRDefault="003F0AE7" w:rsidP="003F0AE7">
      <w:pPr>
        <w:rPr>
          <w:sz w:val="24"/>
          <w:szCs w:val="24"/>
          <w:rtl/>
        </w:rPr>
      </w:pPr>
      <w:r>
        <w:rPr>
          <w:rFonts w:hint="cs"/>
          <w:sz w:val="24"/>
          <w:szCs w:val="24"/>
          <w:rtl/>
        </w:rPr>
        <w:t xml:space="preserve">2. </w:t>
      </w:r>
      <w:r w:rsidRPr="003F0AE7">
        <w:rPr>
          <w:rFonts w:hint="cs"/>
          <w:b/>
          <w:bCs/>
          <w:sz w:val="24"/>
          <w:szCs w:val="24"/>
          <w:rtl/>
        </w:rPr>
        <w:t>הפני יהושע</w:t>
      </w:r>
      <w:r>
        <w:rPr>
          <w:rFonts w:hint="cs"/>
          <w:sz w:val="24"/>
          <w:szCs w:val="24"/>
          <w:rtl/>
        </w:rPr>
        <w:t xml:space="preserve"> מעיר כי ישנה סיבה נוספת</w:t>
      </w:r>
      <w:r w:rsidR="007C353B">
        <w:rPr>
          <w:rFonts w:hint="cs"/>
          <w:sz w:val="24"/>
          <w:szCs w:val="24"/>
          <w:rtl/>
        </w:rPr>
        <w:t xml:space="preserve"> (המופיעה ברמב"ם) </w:t>
      </w:r>
      <w:r>
        <w:rPr>
          <w:rFonts w:hint="cs"/>
          <w:sz w:val="24"/>
          <w:szCs w:val="24"/>
          <w:rtl/>
        </w:rPr>
        <w:t xml:space="preserve"> מדוע לא מזמינים בחודשים הללו והיא כי אדם טורח בהכנת המועד ואין לו זמן להגיע לדין. </w:t>
      </w:r>
      <w:r w:rsidR="007C353B">
        <w:rPr>
          <w:rFonts w:hint="cs"/>
          <w:sz w:val="24"/>
          <w:szCs w:val="24"/>
          <w:rtl/>
        </w:rPr>
        <w:t xml:space="preserve"> </w:t>
      </w:r>
      <w:r>
        <w:rPr>
          <w:rFonts w:hint="cs"/>
          <w:sz w:val="24"/>
          <w:szCs w:val="24"/>
          <w:rtl/>
        </w:rPr>
        <w:t>נפקא מינה בין הסיבות היא חודש סיון שאומנם הוא חודש קציר אך החג שבו רק יום אחד ואין כל כך הרבה מה לטרוח בהכנתו (</w:t>
      </w:r>
      <w:r w:rsidRPr="003F0AE7">
        <w:rPr>
          <w:rFonts w:hint="cs"/>
          <w:b/>
          <w:bCs/>
          <w:sz w:val="24"/>
          <w:szCs w:val="24"/>
          <w:rtl/>
        </w:rPr>
        <w:t>והסמ"ע</w:t>
      </w:r>
      <w:r>
        <w:rPr>
          <w:rFonts w:hint="cs"/>
          <w:sz w:val="24"/>
          <w:szCs w:val="24"/>
          <w:rtl/>
        </w:rPr>
        <w:t xml:space="preserve"> סימן ה, ס"ק ה פסק כי אכן אפשר להזמין לדין בימים לפני שבועות כי טרחתו לא מרובה).</w:t>
      </w:r>
    </w:p>
    <w:p w:rsidR="003870D4" w:rsidRDefault="003870D4" w:rsidP="003F0AE7">
      <w:pPr>
        <w:rPr>
          <w:sz w:val="24"/>
          <w:szCs w:val="24"/>
          <w:rtl/>
        </w:rPr>
      </w:pPr>
      <w:r>
        <w:rPr>
          <w:rFonts w:hint="cs"/>
          <w:sz w:val="24"/>
          <w:szCs w:val="24"/>
          <w:rtl/>
        </w:rPr>
        <w:t>נפקא מינה נוספת היא במקום שבו אין חקלאים יהודים ולכן לא עוסקים בקציר ואסיף. לדעה זו הסיבה שלא מזמינים לניסן ותשרי, הרי שאין בעיה להזמין אך לדעה שאנשים טרודים בהכנת החג , גם במקומות כאלו אין להזמין לדין בניסן ותשרי (</w:t>
      </w:r>
      <w:r w:rsidRPr="003870D4">
        <w:rPr>
          <w:rFonts w:hint="cs"/>
          <w:b/>
          <w:bCs/>
          <w:sz w:val="24"/>
          <w:szCs w:val="24"/>
          <w:rtl/>
        </w:rPr>
        <w:t>שו"ת דברי שלום, חו"מ, א, ז)</w:t>
      </w:r>
    </w:p>
    <w:p w:rsidR="003F0AE7" w:rsidRDefault="007C353B" w:rsidP="003F0AE7">
      <w:pPr>
        <w:rPr>
          <w:rFonts w:cs="Guttman Yad"/>
          <w:b/>
          <w:bCs/>
          <w:sz w:val="24"/>
          <w:szCs w:val="24"/>
          <w:rtl/>
        </w:rPr>
      </w:pPr>
      <w:r>
        <w:rPr>
          <w:rFonts w:cs="Guttman Yad" w:hint="cs"/>
          <w:b/>
          <w:bCs/>
          <w:sz w:val="24"/>
          <w:szCs w:val="24"/>
          <w:rtl/>
        </w:rPr>
        <w:t>האם אפשר להזמין את בעל הדין לאחר המועד?</w:t>
      </w:r>
    </w:p>
    <w:p w:rsidR="007C353B" w:rsidRDefault="007C353B" w:rsidP="003F0AE7">
      <w:pPr>
        <w:rPr>
          <w:rFonts w:asciiTheme="minorBidi" w:hAnsiTheme="minorBidi"/>
          <w:sz w:val="24"/>
          <w:szCs w:val="24"/>
          <w:rtl/>
        </w:rPr>
      </w:pPr>
      <w:r>
        <w:rPr>
          <w:rFonts w:asciiTheme="minorBidi" w:hAnsiTheme="minorBidi" w:hint="cs"/>
          <w:sz w:val="24"/>
          <w:szCs w:val="24"/>
          <w:rtl/>
        </w:rPr>
        <w:t xml:space="preserve">לכאורה הדבר תלוי במחלוקת הטעמים. אם הסיבה היא ההכנות למועד הרי שאין בעיה להזמין לתאריך אחר המועד. אך אם הסיבה שטרודים בקציר ובאסיף הרי כל החודש בכלל ואין להזמין אלא לחודש הבא. </w:t>
      </w:r>
      <w:r w:rsidR="003870D4">
        <w:rPr>
          <w:rFonts w:asciiTheme="minorBidi" w:hAnsiTheme="minorBidi" w:hint="cs"/>
          <w:sz w:val="24"/>
          <w:szCs w:val="24"/>
          <w:rtl/>
        </w:rPr>
        <w:t xml:space="preserve"> </w:t>
      </w:r>
    </w:p>
    <w:p w:rsidR="007C353B" w:rsidRDefault="007C353B" w:rsidP="003F0AE7">
      <w:pPr>
        <w:rPr>
          <w:rFonts w:asciiTheme="minorBidi" w:hAnsiTheme="minorBidi"/>
          <w:sz w:val="24"/>
          <w:szCs w:val="24"/>
          <w:rtl/>
        </w:rPr>
      </w:pPr>
      <w:r>
        <w:rPr>
          <w:rFonts w:asciiTheme="minorBidi" w:hAnsiTheme="minorBidi" w:hint="cs"/>
          <w:sz w:val="24"/>
          <w:szCs w:val="24"/>
          <w:rtl/>
        </w:rPr>
        <w:t xml:space="preserve">אלא שבספר </w:t>
      </w:r>
      <w:r w:rsidRPr="007C353B">
        <w:rPr>
          <w:rFonts w:asciiTheme="minorBidi" w:hAnsiTheme="minorBidi" w:hint="cs"/>
          <w:b/>
          <w:bCs/>
          <w:sz w:val="24"/>
          <w:szCs w:val="24"/>
          <w:rtl/>
        </w:rPr>
        <w:t>גידולי תרומה</w:t>
      </w:r>
      <w:r>
        <w:rPr>
          <w:rFonts w:asciiTheme="minorBidi" w:hAnsiTheme="minorBidi" w:hint="cs"/>
          <w:sz w:val="24"/>
          <w:szCs w:val="24"/>
          <w:rtl/>
        </w:rPr>
        <w:t xml:space="preserve"> כתב כי לכל הדעות לא מזמינים לדין כל החודש.</w:t>
      </w:r>
      <w:r w:rsidR="003870D4">
        <w:rPr>
          <w:rFonts w:asciiTheme="minorBidi" w:hAnsiTheme="minorBidi" w:hint="cs"/>
          <w:sz w:val="24"/>
          <w:szCs w:val="24"/>
          <w:rtl/>
        </w:rPr>
        <w:t xml:space="preserve"> והסביר כי גם אחרי המועד יש הרבה עמל להחזיר את הכלים וכו'. </w:t>
      </w:r>
    </w:p>
    <w:p w:rsidR="003870D4" w:rsidRDefault="003870D4" w:rsidP="003F0AE7">
      <w:pPr>
        <w:rPr>
          <w:rFonts w:asciiTheme="minorBidi" w:hAnsiTheme="minorBidi"/>
          <w:sz w:val="24"/>
          <w:szCs w:val="24"/>
          <w:rtl/>
        </w:rPr>
      </w:pPr>
      <w:r w:rsidRPr="003870D4">
        <w:rPr>
          <w:rFonts w:asciiTheme="minorBidi" w:hAnsiTheme="minorBidi" w:hint="cs"/>
          <w:b/>
          <w:bCs/>
          <w:sz w:val="24"/>
          <w:szCs w:val="24"/>
          <w:rtl/>
        </w:rPr>
        <w:t>בשו"ת שבות יעקב (ח"א, קלט)</w:t>
      </w:r>
      <w:r>
        <w:rPr>
          <w:rFonts w:asciiTheme="minorBidi" w:hAnsiTheme="minorBidi" w:hint="cs"/>
          <w:sz w:val="24"/>
          <w:szCs w:val="24"/>
          <w:rtl/>
        </w:rPr>
        <w:t xml:space="preserve"> הביא טעם נוסף מאחר שבמועד לא עבדו יש בימים שאחרי המועד עמל רב להדביק את קצב העבודה ולכן אנשים היו עסוקים מאוד אחרי המועד. </w:t>
      </w:r>
    </w:p>
    <w:p w:rsidR="007C353B" w:rsidRDefault="007C353B" w:rsidP="003F0AE7">
      <w:pPr>
        <w:rPr>
          <w:rFonts w:asciiTheme="minorBidi" w:hAnsiTheme="minorBidi"/>
          <w:sz w:val="24"/>
          <w:szCs w:val="24"/>
          <w:rtl/>
        </w:rPr>
      </w:pPr>
      <w:r>
        <w:rPr>
          <w:rFonts w:asciiTheme="minorBidi" w:hAnsiTheme="minorBidi" w:hint="cs"/>
          <w:sz w:val="24"/>
          <w:szCs w:val="24"/>
          <w:rtl/>
        </w:rPr>
        <w:t xml:space="preserve">נראה כי זו מחלוקת המחבר והרמ"א (חו"מ ה, ב). שיטת </w:t>
      </w:r>
      <w:r w:rsidRPr="003870D4">
        <w:rPr>
          <w:rFonts w:asciiTheme="minorBidi" w:hAnsiTheme="minorBidi" w:hint="cs"/>
          <w:b/>
          <w:bCs/>
          <w:sz w:val="24"/>
          <w:szCs w:val="24"/>
          <w:rtl/>
        </w:rPr>
        <w:t>המחבר</w:t>
      </w:r>
      <w:r>
        <w:rPr>
          <w:rFonts w:asciiTheme="minorBidi" w:hAnsiTheme="minorBidi" w:hint="cs"/>
          <w:sz w:val="24"/>
          <w:szCs w:val="24"/>
          <w:rtl/>
        </w:rPr>
        <w:t xml:space="preserve"> כי "אין קובעין זמן בניסן ובתשרי" ואילו </w:t>
      </w:r>
      <w:r w:rsidRPr="003870D4">
        <w:rPr>
          <w:rFonts w:asciiTheme="minorBidi" w:hAnsiTheme="minorBidi" w:hint="cs"/>
          <w:b/>
          <w:bCs/>
          <w:sz w:val="24"/>
          <w:szCs w:val="24"/>
          <w:rtl/>
        </w:rPr>
        <w:t>הרמ"א</w:t>
      </w:r>
      <w:r>
        <w:rPr>
          <w:rFonts w:asciiTheme="minorBidi" w:hAnsiTheme="minorBidi" w:hint="cs"/>
          <w:sz w:val="24"/>
          <w:szCs w:val="24"/>
          <w:rtl/>
        </w:rPr>
        <w:t xml:space="preserve"> כתב "...אלא קבעינן להו זמן לאחר הרגל". </w:t>
      </w:r>
      <w:r w:rsidR="003870D4">
        <w:rPr>
          <w:rFonts w:asciiTheme="minorBidi" w:hAnsiTheme="minorBidi" w:hint="cs"/>
          <w:sz w:val="24"/>
          <w:szCs w:val="24"/>
          <w:rtl/>
        </w:rPr>
        <w:t xml:space="preserve">וכן פסק </w:t>
      </w:r>
      <w:r w:rsidR="003870D4" w:rsidRPr="003870D4">
        <w:rPr>
          <w:rFonts w:asciiTheme="minorBidi" w:hAnsiTheme="minorBidi" w:hint="cs"/>
          <w:b/>
          <w:bCs/>
          <w:sz w:val="24"/>
          <w:szCs w:val="24"/>
          <w:rtl/>
        </w:rPr>
        <w:t>הש"ך .</w:t>
      </w:r>
      <w:r w:rsidR="003870D4">
        <w:rPr>
          <w:rFonts w:asciiTheme="minorBidi" w:hAnsiTheme="minorBidi" w:hint="cs"/>
          <w:sz w:val="24"/>
          <w:szCs w:val="24"/>
          <w:rtl/>
        </w:rPr>
        <w:t xml:space="preserve"> </w:t>
      </w:r>
    </w:p>
    <w:p w:rsidR="00B642B8" w:rsidRDefault="00B642B8" w:rsidP="00B642B8">
      <w:pPr>
        <w:rPr>
          <w:rFonts w:asciiTheme="minorBidi" w:hAnsiTheme="minorBidi"/>
          <w:sz w:val="24"/>
          <w:szCs w:val="24"/>
          <w:rtl/>
        </w:rPr>
      </w:pPr>
      <w:r>
        <w:rPr>
          <w:rFonts w:asciiTheme="minorBidi" w:hAnsiTheme="minorBidi" w:hint="cs"/>
          <w:sz w:val="24"/>
          <w:szCs w:val="24"/>
          <w:rtl/>
        </w:rPr>
        <w:t xml:space="preserve">ומסכם </w:t>
      </w:r>
      <w:r w:rsidRPr="00B76D4D">
        <w:rPr>
          <w:rFonts w:asciiTheme="minorBidi" w:hAnsiTheme="minorBidi" w:hint="cs"/>
          <w:b/>
          <w:bCs/>
          <w:sz w:val="24"/>
          <w:szCs w:val="24"/>
          <w:rtl/>
        </w:rPr>
        <w:t>בשו"ת דברי שלום</w:t>
      </w:r>
      <w:r>
        <w:rPr>
          <w:rFonts w:asciiTheme="minorBidi" w:hAnsiTheme="minorBidi" w:hint="cs"/>
          <w:sz w:val="24"/>
          <w:szCs w:val="24"/>
          <w:rtl/>
        </w:rPr>
        <w:t xml:space="preserve"> את ההלכה על פי הבנתו במחלוקת רש"י והרמב"ם:</w:t>
      </w:r>
    </w:p>
    <w:p w:rsidR="00CB04F3" w:rsidRDefault="00B642B8" w:rsidP="00CB04F3">
      <w:pPr>
        <w:rPr>
          <w:rFonts w:asciiTheme="minorBidi" w:hAnsiTheme="minorBidi" w:cs="Arial"/>
          <w:sz w:val="24"/>
          <w:szCs w:val="24"/>
          <w:rtl/>
        </w:rPr>
      </w:pPr>
      <w:r>
        <w:rPr>
          <w:rFonts w:asciiTheme="minorBidi" w:hAnsiTheme="minorBidi" w:cs="Arial" w:hint="cs"/>
          <w:sz w:val="24"/>
          <w:szCs w:val="24"/>
          <w:rtl/>
        </w:rPr>
        <w:lastRenderedPageBreak/>
        <w:t>"</w:t>
      </w:r>
      <w:r w:rsidRPr="00B642B8">
        <w:rPr>
          <w:rFonts w:asciiTheme="minorBidi" w:hAnsiTheme="minorBidi" w:cs="Arial"/>
          <w:sz w:val="24"/>
          <w:szCs w:val="24"/>
          <w:rtl/>
        </w:rPr>
        <w:t xml:space="preserve">היוצא מהמקובץ שלדעת מהרש"ל והש"ך וראבי"ה והמרדכי והגהמי"י, וכן דעת הרב בהג"ה דלאחר הרגל קובעין, ואילו לפירש"י אין קובעין כל החדש כולו, וא"כ במקום שנוהגים לזמן אפילו מעיר לעיר מיד אחר החג יש להם על מי לסמוך על רש"ל וש"ך אליבא דראבי"ה והמרדכי והגהמ"י והר"ב וכנה"ג אליבא דהרי"פ ור"מ ודלא כהשבו"י שכתב עפי"ד הב"ח </w:t>
      </w:r>
    </w:p>
    <w:p w:rsidR="00B642B8" w:rsidRPr="00B642B8" w:rsidRDefault="00B642B8" w:rsidP="00CB04F3">
      <w:pPr>
        <w:rPr>
          <w:rFonts w:asciiTheme="minorBidi" w:hAnsiTheme="minorBidi"/>
          <w:sz w:val="24"/>
          <w:szCs w:val="24"/>
          <w:rtl/>
        </w:rPr>
      </w:pPr>
      <w:r w:rsidRPr="00B642B8">
        <w:rPr>
          <w:rFonts w:asciiTheme="minorBidi" w:hAnsiTheme="minorBidi" w:cs="Arial"/>
          <w:sz w:val="24"/>
          <w:szCs w:val="24"/>
          <w:rtl/>
        </w:rPr>
        <w:t>נקטינן לדינא:</w:t>
      </w:r>
    </w:p>
    <w:p w:rsidR="00B642B8" w:rsidRPr="00B642B8" w:rsidRDefault="00B642B8" w:rsidP="00B642B8">
      <w:pPr>
        <w:rPr>
          <w:rFonts w:asciiTheme="minorBidi" w:hAnsiTheme="minorBidi"/>
          <w:sz w:val="24"/>
          <w:szCs w:val="24"/>
          <w:rtl/>
        </w:rPr>
      </w:pPr>
      <w:r w:rsidRPr="00B642B8">
        <w:rPr>
          <w:rFonts w:asciiTheme="minorBidi" w:hAnsiTheme="minorBidi" w:cs="Arial"/>
          <w:sz w:val="24"/>
          <w:szCs w:val="24"/>
          <w:rtl/>
        </w:rPr>
        <w:t>א. אין קובעין לנתבע זמן לדיון בחודש תשרי וניסן, אלא א"כ הוא גר באותה העיר שיש ב"ד.</w:t>
      </w:r>
    </w:p>
    <w:p w:rsidR="00834B12" w:rsidRDefault="00B642B8" w:rsidP="00834B12">
      <w:pPr>
        <w:rPr>
          <w:rFonts w:asciiTheme="minorBidi" w:hAnsiTheme="minorBidi"/>
          <w:sz w:val="24"/>
          <w:szCs w:val="24"/>
          <w:rtl/>
        </w:rPr>
      </w:pPr>
      <w:r w:rsidRPr="00B642B8">
        <w:rPr>
          <w:rFonts w:asciiTheme="minorBidi" w:hAnsiTheme="minorBidi" w:cs="Arial"/>
          <w:sz w:val="24"/>
          <w:szCs w:val="24"/>
          <w:rtl/>
        </w:rPr>
        <w:t>ב. ודוקא לפני החגים, אבל לאחר החגים קובעין במקום שנהגו לזמן מ</w:t>
      </w:r>
      <w:r w:rsidR="00CB04F3">
        <w:rPr>
          <w:rFonts w:asciiTheme="minorBidi" w:hAnsiTheme="minorBidi" w:cs="Arial"/>
          <w:sz w:val="24"/>
          <w:szCs w:val="24"/>
          <w:rtl/>
        </w:rPr>
        <w:t>עיר לעיר אפילו בחודש ניסן ותשרי</w:t>
      </w:r>
      <w:r w:rsidR="00CB04F3">
        <w:rPr>
          <w:rFonts w:asciiTheme="minorBidi" w:hAnsiTheme="minorBidi" w:cs="Arial" w:hint="cs"/>
          <w:sz w:val="24"/>
          <w:szCs w:val="24"/>
          <w:rtl/>
        </w:rPr>
        <w:t xml:space="preserve">" </w:t>
      </w:r>
    </w:p>
    <w:p w:rsidR="00834B12" w:rsidRDefault="00834B12" w:rsidP="00834B12">
      <w:pPr>
        <w:rPr>
          <w:rFonts w:asciiTheme="minorBidi" w:hAnsiTheme="minorBidi"/>
          <w:sz w:val="24"/>
          <w:szCs w:val="24"/>
          <w:rtl/>
        </w:rPr>
      </w:pPr>
      <w:r>
        <w:rPr>
          <w:rFonts w:asciiTheme="minorBidi" w:hAnsiTheme="minorBidi" w:hint="cs"/>
          <w:sz w:val="24"/>
          <w:szCs w:val="24"/>
          <w:rtl/>
        </w:rPr>
        <w:t xml:space="preserve">יש לציין כי </w:t>
      </w:r>
      <w:r w:rsidRPr="00C67715">
        <w:rPr>
          <w:rFonts w:asciiTheme="minorBidi" w:hAnsiTheme="minorBidi" w:hint="cs"/>
          <w:b/>
          <w:bCs/>
          <w:sz w:val="24"/>
          <w:szCs w:val="24"/>
          <w:rtl/>
        </w:rPr>
        <w:t>הרשב"א</w:t>
      </w:r>
      <w:r>
        <w:rPr>
          <w:rFonts w:asciiTheme="minorBidi" w:hAnsiTheme="minorBidi" w:hint="cs"/>
          <w:sz w:val="24"/>
          <w:szCs w:val="24"/>
          <w:rtl/>
        </w:rPr>
        <w:t xml:space="preserve"> (שו"ת , חלק ה, רא) פוסק כי לגבי תשרי וניסן אין לחלק בין גר באותה העיר לבין גר מחוץ לעיר. וכך תורף דבריו:</w:t>
      </w:r>
    </w:p>
    <w:p w:rsidR="00834B12" w:rsidRDefault="00834B12" w:rsidP="00834B12">
      <w:pPr>
        <w:rPr>
          <w:rFonts w:asciiTheme="minorBidi" w:hAnsiTheme="minorBidi"/>
          <w:sz w:val="24"/>
          <w:szCs w:val="24"/>
          <w:rtl/>
        </w:rPr>
      </w:pPr>
      <w:r>
        <w:rPr>
          <w:rFonts w:asciiTheme="minorBidi" w:hAnsiTheme="minorBidi" w:cs="Arial" w:hint="cs"/>
          <w:sz w:val="24"/>
          <w:szCs w:val="24"/>
          <w:rtl/>
        </w:rPr>
        <w:t>"</w:t>
      </w:r>
      <w:r w:rsidRPr="00834B12">
        <w:rPr>
          <w:rFonts w:asciiTheme="minorBidi" w:hAnsiTheme="minorBidi" w:cs="Arial"/>
          <w:sz w:val="24"/>
          <w:szCs w:val="24"/>
          <w:rtl/>
        </w:rPr>
        <w:t>לא ראינו שחלקו בגמרא (בפ' הגוזל בתרא דף קי"ג) בין מי שהוא בעיר למי שאינו בעיר. וטעמא דאין קובעין הוא משום טירחא. וא"כ כולי' עלמא בהנהו יומי טרידי וטריחי ביומי ניסן וביומי תשרי ובמעלי שבתא ויומא טבא, בהדי אהדדי אתמרו וכולהו משום דטרידי. ובמעלי שבתא וי"ט מאי איכא לחלק בין איתא במתא לליתיה במתא. אלא לעולם לא קבעינן זמן לא בניסן ולא בתשרי</w:t>
      </w:r>
      <w:r>
        <w:rPr>
          <w:rFonts w:asciiTheme="minorBidi" w:hAnsiTheme="minorBidi" w:cs="Arial" w:hint="cs"/>
          <w:sz w:val="24"/>
          <w:szCs w:val="24"/>
          <w:rtl/>
        </w:rPr>
        <w:t>"</w:t>
      </w:r>
    </w:p>
    <w:p w:rsidR="00305C2B" w:rsidRDefault="00305C2B" w:rsidP="002D6387">
      <w:pPr>
        <w:rPr>
          <w:rFonts w:asciiTheme="minorBidi" w:hAnsiTheme="minorBidi"/>
          <w:b/>
          <w:bCs/>
          <w:sz w:val="36"/>
          <w:szCs w:val="36"/>
          <w:rtl/>
        </w:rPr>
      </w:pPr>
      <w:r>
        <w:rPr>
          <w:rFonts w:asciiTheme="minorBidi" w:hAnsiTheme="minorBidi" w:hint="cs"/>
          <w:sz w:val="24"/>
          <w:szCs w:val="24"/>
          <w:rtl/>
        </w:rPr>
        <w:t xml:space="preserve">                                        </w:t>
      </w:r>
      <w:r w:rsidR="002D6387">
        <w:rPr>
          <w:rFonts w:asciiTheme="minorBidi" w:hAnsiTheme="minorBidi" w:hint="cs"/>
          <w:sz w:val="24"/>
          <w:szCs w:val="24"/>
          <w:rtl/>
        </w:rPr>
        <w:t xml:space="preserve">         </w:t>
      </w:r>
      <w:r>
        <w:rPr>
          <w:rFonts w:asciiTheme="minorBidi" w:hAnsiTheme="minorBidi" w:hint="cs"/>
          <w:sz w:val="24"/>
          <w:szCs w:val="24"/>
          <w:rtl/>
        </w:rPr>
        <w:t xml:space="preserve"> </w:t>
      </w:r>
      <w:r>
        <w:rPr>
          <w:rFonts w:asciiTheme="minorBidi" w:hAnsiTheme="minorBidi" w:hint="cs"/>
          <w:b/>
          <w:bCs/>
          <w:sz w:val="36"/>
          <w:szCs w:val="36"/>
          <w:rtl/>
        </w:rPr>
        <w:t xml:space="preserve">חתן </w:t>
      </w:r>
    </w:p>
    <w:p w:rsidR="00305C2B" w:rsidRDefault="00305C2B" w:rsidP="00834B12">
      <w:pPr>
        <w:rPr>
          <w:rFonts w:asciiTheme="minorBidi" w:hAnsiTheme="minorBidi"/>
          <w:sz w:val="24"/>
          <w:szCs w:val="24"/>
          <w:rtl/>
        </w:rPr>
      </w:pPr>
      <w:r w:rsidRPr="00305C2B">
        <w:rPr>
          <w:rFonts w:asciiTheme="minorBidi" w:hAnsiTheme="minorBidi" w:hint="cs"/>
          <w:sz w:val="24"/>
          <w:szCs w:val="24"/>
          <w:rtl/>
        </w:rPr>
        <w:t>כתב</w:t>
      </w:r>
      <w:r>
        <w:rPr>
          <w:rFonts w:asciiTheme="minorBidi" w:hAnsiTheme="minorBidi" w:hint="cs"/>
          <w:b/>
          <w:bCs/>
          <w:sz w:val="24"/>
          <w:szCs w:val="24"/>
          <w:rtl/>
        </w:rPr>
        <w:t xml:space="preserve"> כנסת הגדולה </w:t>
      </w:r>
      <w:r>
        <w:rPr>
          <w:rFonts w:asciiTheme="minorBidi" w:hAnsiTheme="minorBidi" w:hint="cs"/>
          <w:sz w:val="24"/>
          <w:szCs w:val="24"/>
          <w:rtl/>
        </w:rPr>
        <w:t xml:space="preserve">(חו"מ, סימן ה, הגהות בית יוסף סעיף ב) כי ברור שחתן ובעל ברית המילה טרודים בארגון השמחה שלהם ולכן אין מזמנים אותם סמוך לשמחה. אלא שהתלבט מהו שיעור "סמוך לשמחה". </w:t>
      </w:r>
    </w:p>
    <w:p w:rsidR="00305C2B" w:rsidRDefault="00305C2B" w:rsidP="00834B12">
      <w:pPr>
        <w:rPr>
          <w:rFonts w:asciiTheme="minorBidi" w:hAnsiTheme="minorBidi"/>
          <w:sz w:val="24"/>
          <w:szCs w:val="24"/>
          <w:rtl/>
        </w:rPr>
      </w:pPr>
      <w:r>
        <w:rPr>
          <w:rFonts w:asciiTheme="minorBidi" w:hAnsiTheme="minorBidi" w:hint="cs"/>
          <w:sz w:val="24"/>
          <w:szCs w:val="24"/>
          <w:rtl/>
        </w:rPr>
        <w:t xml:space="preserve">לגבי חתן הוא מכריע שאין מזמינים אותו לדין 21 ימים. שבעה ימים לפני החתונה כדי שיוכל לארגן צורכי חתונה. שבעה ימי המשתה ועוד שבעה ימים לאחר החתונה שהוא טרוד להשיב את המצב לקדמותו . יש לציין כי הכנה"ג פוסק כגידולי התרומה שהובא לעיל , שגם אחרי המועד אין מזמנים לדין עד מרחשון מפני שצריך האדם אחרי המועד לסדר את הכלים במקומם וכו'. </w:t>
      </w:r>
    </w:p>
    <w:p w:rsidR="006F3249" w:rsidRDefault="002D6387" w:rsidP="00834B12">
      <w:pPr>
        <w:rPr>
          <w:rFonts w:asciiTheme="minorBidi" w:hAnsiTheme="minorBidi"/>
          <w:sz w:val="24"/>
          <w:szCs w:val="24"/>
          <w:rtl/>
        </w:rPr>
      </w:pPr>
      <w:r>
        <w:rPr>
          <w:rFonts w:asciiTheme="minorBidi" w:hAnsiTheme="minorBidi" w:hint="cs"/>
          <w:sz w:val="24"/>
          <w:szCs w:val="24"/>
          <w:rtl/>
        </w:rPr>
        <w:t xml:space="preserve">ומה </w:t>
      </w:r>
      <w:r w:rsidR="006F3249">
        <w:rPr>
          <w:rFonts w:asciiTheme="minorBidi" w:hAnsiTheme="minorBidi" w:hint="cs"/>
          <w:sz w:val="24"/>
          <w:szCs w:val="24"/>
          <w:rtl/>
        </w:rPr>
        <w:t xml:space="preserve"> שהוסיף לאחר מכן לגבי ארוס שנותנים לו יום אחד לפני האירוסין ואת יום האירוסין גם כאן קשיא לי אותה קושיה, וכי סעודת אירוסין לוקח לארגן אותה פחות זמן מסעודת נישואין?</w:t>
      </w:r>
    </w:p>
    <w:p w:rsidR="006F3249" w:rsidRDefault="006F3249" w:rsidP="00834B12">
      <w:pPr>
        <w:rPr>
          <w:rFonts w:asciiTheme="minorBidi" w:hAnsiTheme="minorBidi"/>
          <w:sz w:val="24"/>
          <w:szCs w:val="24"/>
          <w:rtl/>
        </w:rPr>
      </w:pPr>
      <w:r w:rsidRPr="00E70AED">
        <w:rPr>
          <w:rFonts w:asciiTheme="minorBidi" w:hAnsiTheme="minorBidi" w:hint="cs"/>
          <w:b/>
          <w:bCs/>
          <w:sz w:val="24"/>
          <w:szCs w:val="24"/>
          <w:rtl/>
        </w:rPr>
        <w:t xml:space="preserve">השבות יעקב </w:t>
      </w:r>
      <w:r>
        <w:rPr>
          <w:rFonts w:asciiTheme="minorBidi" w:hAnsiTheme="minorBidi" w:hint="cs"/>
          <w:sz w:val="24"/>
          <w:szCs w:val="24"/>
          <w:rtl/>
        </w:rPr>
        <w:t>(ח"א, קלט) חולק על הכנה"ג . בחודשי החגים, כל הציבור טרוד בארגון החג ולכן אין אפשרות לבעל הדין לפנות לעזרת חבריו בארגון החג ולכן אין מזמינים אותו לדין . אבל החתן רק הוא טרוד בארגון חתונתו וכולם פנויים ולכן יכול לפנות לחבריו שיעזרו לו לארגן את החתונה . על פי הדברים הללו פוסק השבות יעקב שחתן אפשר להזמינו לדין בכל הימים שקודם החתונה ואפילו בימי המשתה הוא סובר שאין מזמנים אותו לדין רק בשלושת הימים הראשונים.</w:t>
      </w:r>
    </w:p>
    <w:p w:rsidR="00E70AED" w:rsidRDefault="00E70AED" w:rsidP="00834B12">
      <w:pPr>
        <w:rPr>
          <w:rFonts w:asciiTheme="minorBidi" w:hAnsiTheme="minorBidi"/>
          <w:b/>
          <w:bCs/>
          <w:sz w:val="24"/>
          <w:szCs w:val="24"/>
          <w:rtl/>
        </w:rPr>
      </w:pPr>
      <w:r>
        <w:rPr>
          <w:rFonts w:asciiTheme="minorBidi" w:hAnsiTheme="minorBidi" w:hint="cs"/>
          <w:sz w:val="24"/>
          <w:szCs w:val="24"/>
          <w:rtl/>
        </w:rPr>
        <w:t xml:space="preserve">דעת ביניים היא דעת </w:t>
      </w:r>
      <w:r w:rsidRPr="00E70AED">
        <w:rPr>
          <w:rFonts w:asciiTheme="minorBidi" w:hAnsiTheme="minorBidi" w:hint="cs"/>
          <w:b/>
          <w:bCs/>
          <w:sz w:val="24"/>
          <w:szCs w:val="24"/>
          <w:rtl/>
        </w:rPr>
        <w:t xml:space="preserve">האורים </w:t>
      </w:r>
      <w:r>
        <w:rPr>
          <w:rFonts w:asciiTheme="minorBidi" w:hAnsiTheme="minorBidi" w:hint="cs"/>
          <w:sz w:val="24"/>
          <w:szCs w:val="24"/>
          <w:rtl/>
        </w:rPr>
        <w:t xml:space="preserve">.הוא מקשה על השבו"י, כיצד אפשר להזמין חתן לדין בימי המשתה אם ההלכה אומרת שאפילו נגעים אין רואים בשבע ימי המשתה שלא לצער את החתן שצריך לשמוח , וכן אם באו פנים חדשות לסעודה מברכים "שהשמחה במעונו". לכן דעתו שלא מזמנים חתן לדין שלושה ימים קודם החתונה כדי שיוכל להתרכז בהכנת סעודת החתונה ואין מזמנים אותו כל שבעת ימי המשתה. </w:t>
      </w:r>
      <w:r w:rsidR="0068309F">
        <w:rPr>
          <w:rFonts w:asciiTheme="minorBidi" w:hAnsiTheme="minorBidi" w:hint="cs"/>
          <w:sz w:val="24"/>
          <w:szCs w:val="24"/>
          <w:rtl/>
        </w:rPr>
        <w:t xml:space="preserve">אבל אחרי ימי המשתה אפשר לזמן אותו מיידית. </w:t>
      </w:r>
      <w:r w:rsidR="00FB4F0C">
        <w:rPr>
          <w:rFonts w:asciiTheme="minorBidi" w:hAnsiTheme="minorBidi" w:hint="cs"/>
          <w:sz w:val="24"/>
          <w:szCs w:val="24"/>
          <w:rtl/>
        </w:rPr>
        <w:t xml:space="preserve">וכן פסק </w:t>
      </w:r>
      <w:r w:rsidR="00FB4F0C">
        <w:rPr>
          <w:rFonts w:asciiTheme="minorBidi" w:hAnsiTheme="minorBidi" w:hint="cs"/>
          <w:b/>
          <w:bCs/>
          <w:sz w:val="24"/>
          <w:szCs w:val="24"/>
          <w:rtl/>
        </w:rPr>
        <w:t xml:space="preserve">הנתיבות. </w:t>
      </w:r>
    </w:p>
    <w:p w:rsidR="00FB4F0C" w:rsidRPr="00FB4F0C" w:rsidRDefault="00FB4F0C" w:rsidP="00834B12">
      <w:pPr>
        <w:rPr>
          <w:rFonts w:asciiTheme="minorBidi" w:hAnsiTheme="minorBidi"/>
          <w:b/>
          <w:bCs/>
          <w:sz w:val="24"/>
          <w:szCs w:val="24"/>
          <w:rtl/>
        </w:rPr>
      </w:pPr>
    </w:p>
    <w:p w:rsidR="00E70AED" w:rsidRDefault="00E70AED" w:rsidP="00834B12">
      <w:pPr>
        <w:rPr>
          <w:rFonts w:asciiTheme="minorBidi" w:hAnsiTheme="minorBidi"/>
          <w:sz w:val="24"/>
          <w:szCs w:val="24"/>
          <w:rtl/>
        </w:rPr>
      </w:pPr>
    </w:p>
    <w:p w:rsidR="006F3249" w:rsidRDefault="002D6387" w:rsidP="00834B12">
      <w:pPr>
        <w:rPr>
          <w:rFonts w:asciiTheme="minorBidi" w:hAnsiTheme="minorBidi"/>
          <w:b/>
          <w:bCs/>
          <w:sz w:val="32"/>
          <w:szCs w:val="32"/>
          <w:rtl/>
        </w:rPr>
      </w:pPr>
      <w:r>
        <w:rPr>
          <w:rFonts w:asciiTheme="minorBidi" w:hAnsiTheme="minorBidi" w:hint="cs"/>
          <w:sz w:val="24"/>
          <w:szCs w:val="24"/>
          <w:rtl/>
        </w:rPr>
        <w:t xml:space="preserve">                                                </w:t>
      </w:r>
      <w:r>
        <w:rPr>
          <w:rFonts w:asciiTheme="minorBidi" w:hAnsiTheme="minorBidi" w:hint="cs"/>
          <w:b/>
          <w:bCs/>
          <w:sz w:val="32"/>
          <w:szCs w:val="32"/>
          <w:rtl/>
        </w:rPr>
        <w:t xml:space="preserve">בעל הברית </w:t>
      </w:r>
    </w:p>
    <w:p w:rsidR="002D6387" w:rsidRDefault="002D6387" w:rsidP="002D6387">
      <w:pPr>
        <w:rPr>
          <w:rFonts w:asciiTheme="minorBidi" w:hAnsiTheme="minorBidi"/>
          <w:sz w:val="24"/>
          <w:szCs w:val="24"/>
          <w:rtl/>
        </w:rPr>
      </w:pPr>
      <w:r>
        <w:rPr>
          <w:rFonts w:asciiTheme="minorBidi" w:hAnsiTheme="minorBidi" w:hint="cs"/>
          <w:sz w:val="24"/>
          <w:szCs w:val="24"/>
          <w:rtl/>
        </w:rPr>
        <w:t xml:space="preserve">לגבי אבי הבן , מכריע </w:t>
      </w:r>
      <w:r w:rsidRPr="002D6387">
        <w:rPr>
          <w:rFonts w:asciiTheme="minorBidi" w:hAnsiTheme="minorBidi" w:hint="cs"/>
          <w:b/>
          <w:bCs/>
          <w:sz w:val="24"/>
          <w:szCs w:val="24"/>
          <w:rtl/>
        </w:rPr>
        <w:t>כנסת הגדולה</w:t>
      </w:r>
      <w:r>
        <w:rPr>
          <w:rFonts w:asciiTheme="minorBidi" w:hAnsiTheme="minorBidi" w:hint="cs"/>
          <w:sz w:val="24"/>
          <w:szCs w:val="24"/>
          <w:rtl/>
        </w:rPr>
        <w:t xml:space="preserve">  שביום המילה ויום שלפניו אין מזמנים אותו לדין אך ביום שלפני כן אפשר לזמן אותו בדומה לחג השבועות , שביום שלפניו לא דנים (ערב חג) אך מזמנים אותו ביום שלפני ערב החג. לפסיקתו, מייד ביום שאחרי ברית המילה אפשר להזמינו לדין. </w:t>
      </w:r>
    </w:p>
    <w:p w:rsidR="002D6387" w:rsidRDefault="002D6387" w:rsidP="002D6387">
      <w:pPr>
        <w:rPr>
          <w:rFonts w:asciiTheme="minorBidi" w:hAnsiTheme="minorBidi"/>
          <w:sz w:val="24"/>
          <w:szCs w:val="24"/>
          <w:rtl/>
        </w:rPr>
      </w:pPr>
      <w:r>
        <w:rPr>
          <w:rFonts w:asciiTheme="minorBidi" w:hAnsiTheme="minorBidi" w:hint="cs"/>
          <w:sz w:val="24"/>
          <w:szCs w:val="24"/>
          <w:rtl/>
        </w:rPr>
        <w:t xml:space="preserve">לדידי קשיא לי דבריו, הרי בעל ברית בדומה לחתן יש לו ארגונים רבים לפני וכן ארגונים אחרי , וכיצד אפשר להשוות אותו לחג השבועות שעליו נאמר בפוסקים כיוון שהוא יום אחד , אין לאדם הרבה התארגנות לפני ואחרי החג. </w:t>
      </w:r>
    </w:p>
    <w:p w:rsidR="002D6387" w:rsidRDefault="002D6387" w:rsidP="002D6387">
      <w:pPr>
        <w:rPr>
          <w:rFonts w:asciiTheme="minorBidi" w:hAnsiTheme="minorBidi"/>
          <w:sz w:val="24"/>
          <w:szCs w:val="24"/>
          <w:rtl/>
        </w:rPr>
      </w:pPr>
      <w:r>
        <w:rPr>
          <w:rFonts w:asciiTheme="minorBidi" w:hAnsiTheme="minorBidi" w:hint="cs"/>
          <w:sz w:val="24"/>
          <w:szCs w:val="24"/>
          <w:rtl/>
        </w:rPr>
        <w:t xml:space="preserve">ובספר </w:t>
      </w:r>
      <w:r>
        <w:rPr>
          <w:rFonts w:asciiTheme="minorBidi" w:hAnsiTheme="minorBidi" w:hint="cs"/>
          <w:b/>
          <w:bCs/>
          <w:sz w:val="24"/>
          <w:szCs w:val="24"/>
          <w:rtl/>
        </w:rPr>
        <w:t>עטרת צבי</w:t>
      </w:r>
      <w:r>
        <w:rPr>
          <w:rFonts w:asciiTheme="minorBidi" w:hAnsiTheme="minorBidi" w:hint="cs"/>
          <w:sz w:val="24"/>
          <w:szCs w:val="24"/>
          <w:rtl/>
        </w:rPr>
        <w:t xml:space="preserve"> (ס"ק ד) כתב כי בעל ברית לא מזמינים אותו כל שמונת הימים מלידת התינוק ועד אחרי המילה. </w:t>
      </w:r>
    </w:p>
    <w:p w:rsidR="00D052B7" w:rsidRPr="002D6387" w:rsidRDefault="00D052B7" w:rsidP="002D6387">
      <w:pPr>
        <w:rPr>
          <w:rFonts w:asciiTheme="minorBidi" w:hAnsiTheme="minorBidi"/>
          <w:sz w:val="24"/>
          <w:szCs w:val="24"/>
          <w:rtl/>
        </w:rPr>
      </w:pPr>
      <w:r>
        <w:rPr>
          <w:rFonts w:asciiTheme="minorBidi" w:hAnsiTheme="minorBidi" w:hint="cs"/>
          <w:sz w:val="24"/>
          <w:szCs w:val="24"/>
          <w:rtl/>
        </w:rPr>
        <w:t xml:space="preserve">לסיכום יש לשאול מדוע הרמב"ם, הטור , המחבר והרמ"א כלל לא הזכירו דין החתן ובעל הברית. </w:t>
      </w:r>
      <w:r w:rsidR="004B54E4">
        <w:rPr>
          <w:rFonts w:asciiTheme="minorBidi" w:hAnsiTheme="minorBidi" w:hint="cs"/>
          <w:sz w:val="24"/>
          <w:szCs w:val="24"/>
          <w:rtl/>
        </w:rPr>
        <w:t xml:space="preserve">לגבי הרמב"ם אולי יש לתרץ כי הרמב"ם אינו פוסק הלכות שאינן דינא דגמרא והנושאים הללו כלל לא מוזכרים בגמרא. </w:t>
      </w:r>
    </w:p>
    <w:p w:rsidR="002D6387" w:rsidRPr="002D6387" w:rsidRDefault="002D6387" w:rsidP="00834B12">
      <w:pPr>
        <w:rPr>
          <w:rFonts w:asciiTheme="minorBidi" w:hAnsiTheme="minorBidi"/>
          <w:b/>
          <w:bCs/>
          <w:sz w:val="32"/>
          <w:szCs w:val="32"/>
          <w:rtl/>
        </w:rPr>
      </w:pPr>
    </w:p>
    <w:p w:rsidR="006F3249" w:rsidRPr="00305C2B" w:rsidRDefault="006F3249" w:rsidP="00834B12">
      <w:pPr>
        <w:rPr>
          <w:rFonts w:asciiTheme="minorBidi" w:hAnsiTheme="minorBidi"/>
          <w:sz w:val="24"/>
          <w:szCs w:val="24"/>
          <w:rtl/>
        </w:rPr>
      </w:pPr>
    </w:p>
    <w:p w:rsidR="007C353B" w:rsidRPr="007C353B" w:rsidRDefault="007C353B" w:rsidP="003F0AE7">
      <w:pPr>
        <w:rPr>
          <w:rFonts w:asciiTheme="minorBidi" w:hAnsiTheme="minorBidi"/>
          <w:sz w:val="24"/>
          <w:szCs w:val="24"/>
          <w:rtl/>
        </w:rPr>
      </w:pPr>
    </w:p>
    <w:p w:rsidR="003F0AE7" w:rsidRDefault="003F0AE7" w:rsidP="003F0AE7">
      <w:pPr>
        <w:rPr>
          <w:sz w:val="24"/>
          <w:szCs w:val="24"/>
          <w:rtl/>
        </w:rPr>
      </w:pPr>
    </w:p>
    <w:p w:rsidR="003F0AE7" w:rsidRPr="00F045EF" w:rsidRDefault="003F0AE7" w:rsidP="003F0AE7">
      <w:pPr>
        <w:rPr>
          <w:sz w:val="24"/>
          <w:szCs w:val="24"/>
          <w:rtl/>
        </w:rPr>
      </w:pPr>
    </w:p>
    <w:p w:rsidR="00F045EF" w:rsidRPr="00F045EF" w:rsidRDefault="00F045EF">
      <w:pPr>
        <w:rPr>
          <w:sz w:val="24"/>
          <w:szCs w:val="24"/>
        </w:rPr>
      </w:pPr>
    </w:p>
    <w:sectPr w:rsidR="00F045EF" w:rsidRPr="00F045EF" w:rsidSect="00905C5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CA9" w:rsidRDefault="00453CA9" w:rsidP="00C866EF">
      <w:pPr>
        <w:spacing w:after="0" w:line="240" w:lineRule="auto"/>
      </w:pPr>
      <w:r>
        <w:separator/>
      </w:r>
    </w:p>
  </w:endnote>
  <w:endnote w:type="continuationSeparator" w:id="0">
    <w:p w:rsidR="00453CA9" w:rsidRDefault="00453CA9" w:rsidP="00C8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ttman Yad">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CA9" w:rsidRDefault="00453CA9" w:rsidP="00C866EF">
      <w:pPr>
        <w:spacing w:after="0" w:line="240" w:lineRule="auto"/>
      </w:pPr>
      <w:r>
        <w:separator/>
      </w:r>
    </w:p>
  </w:footnote>
  <w:footnote w:type="continuationSeparator" w:id="0">
    <w:p w:rsidR="00453CA9" w:rsidRDefault="00453CA9" w:rsidP="00C866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5EF"/>
    <w:rsid w:val="00090B36"/>
    <w:rsid w:val="001E55BD"/>
    <w:rsid w:val="002D6387"/>
    <w:rsid w:val="00305C2B"/>
    <w:rsid w:val="003870D4"/>
    <w:rsid w:val="003F0AE7"/>
    <w:rsid w:val="00453CA9"/>
    <w:rsid w:val="004B54E4"/>
    <w:rsid w:val="00506DE4"/>
    <w:rsid w:val="005719F2"/>
    <w:rsid w:val="0068309F"/>
    <w:rsid w:val="006F3249"/>
    <w:rsid w:val="007C0303"/>
    <w:rsid w:val="007C353B"/>
    <w:rsid w:val="00801491"/>
    <w:rsid w:val="00834B12"/>
    <w:rsid w:val="00905C59"/>
    <w:rsid w:val="00B642B8"/>
    <w:rsid w:val="00B76D4D"/>
    <w:rsid w:val="00BB545D"/>
    <w:rsid w:val="00C67715"/>
    <w:rsid w:val="00C866EF"/>
    <w:rsid w:val="00CB04F3"/>
    <w:rsid w:val="00D052B7"/>
    <w:rsid w:val="00E70AED"/>
    <w:rsid w:val="00F045EF"/>
    <w:rsid w:val="00FB4F0C"/>
    <w:rsid w:val="00FD3E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834CA"/>
  <w15:chartTrackingRefBased/>
  <w15:docId w15:val="{250BC2B8-C464-44A0-9F64-6DFC9859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866EF"/>
    <w:pPr>
      <w:spacing w:after="0" w:line="240" w:lineRule="auto"/>
    </w:pPr>
    <w:rPr>
      <w:sz w:val="20"/>
      <w:szCs w:val="20"/>
    </w:rPr>
  </w:style>
  <w:style w:type="character" w:customStyle="1" w:styleId="a4">
    <w:name w:val="טקסט הערת שוליים תו"/>
    <w:basedOn w:val="a0"/>
    <w:link w:val="a3"/>
    <w:uiPriority w:val="99"/>
    <w:semiHidden/>
    <w:rsid w:val="00C866EF"/>
    <w:rPr>
      <w:sz w:val="20"/>
      <w:szCs w:val="20"/>
    </w:rPr>
  </w:style>
  <w:style w:type="character" w:styleId="a5">
    <w:name w:val="footnote reference"/>
    <w:basedOn w:val="a0"/>
    <w:uiPriority w:val="99"/>
    <w:semiHidden/>
    <w:unhideWhenUsed/>
    <w:rsid w:val="00C866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6A65B-DC2B-4AFB-800A-B1DE528B6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920</Words>
  <Characters>4601</Characters>
  <Application>Microsoft Office Word</Application>
  <DocSecurity>0</DocSecurity>
  <Lines>38</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dcterms:created xsi:type="dcterms:W3CDTF">2023-09-10T18:32:00Z</dcterms:created>
  <dcterms:modified xsi:type="dcterms:W3CDTF">2023-10-15T18:48:00Z</dcterms:modified>
</cp:coreProperties>
</file>