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6FC5" w14:textId="7784F1EC" w:rsidR="00B13513" w:rsidRPr="00B13513" w:rsidRDefault="00B13513" w:rsidP="00B13513">
      <w:pPr>
        <w:rPr>
          <w:rFonts w:ascii="Times New Roman" w:hAnsi="Times New Roman" w:cs="Times New Roman"/>
          <w:sz w:val="24"/>
          <w:szCs w:val="24"/>
          <w:rtl/>
        </w:rPr>
      </w:pPr>
      <w:r w:rsidRPr="00B13513">
        <w:rPr>
          <w:rFonts w:ascii="Times New Roman" w:hAnsi="Times New Roman" w:cs="Times New Roman"/>
          <w:sz w:val="24"/>
          <w:szCs w:val="24"/>
          <w:rtl/>
        </w:rPr>
        <w:t xml:space="preserve">  מסכת בבא קמא דף צב עמוד א</w:t>
      </w:r>
    </w:p>
    <w:p w14:paraId="7C10C364" w14:textId="697ADA1C" w:rsidR="00A82CF4" w:rsidRDefault="00B13513" w:rsidP="00B13513">
      <w:pPr>
        <w:rPr>
          <w:rFonts w:ascii="Times New Roman" w:hAnsi="Times New Roman" w:cs="Times New Roman"/>
          <w:sz w:val="24"/>
          <w:szCs w:val="24"/>
          <w:rtl/>
        </w:rPr>
      </w:pPr>
      <w:r w:rsidRPr="00B13513">
        <w:rPr>
          <w:rFonts w:ascii="Times New Roman" w:hAnsi="Times New Roman" w:cs="Times New Roman"/>
          <w:sz w:val="24"/>
          <w:szCs w:val="24"/>
          <w:rtl/>
        </w:rPr>
        <w:t xml:space="preserve"> </w:t>
      </w:r>
      <w:r>
        <w:rPr>
          <w:rFonts w:ascii="Times New Roman" w:hAnsi="Times New Roman" w:cs="Times New Roman" w:hint="cs"/>
          <w:sz w:val="24"/>
          <w:szCs w:val="24"/>
          <w:rtl/>
        </w:rPr>
        <w:t xml:space="preserve">משנה </w:t>
      </w:r>
      <w:r w:rsidRPr="00B13513">
        <w:rPr>
          <w:rFonts w:ascii="Times New Roman" w:hAnsi="Times New Roman" w:cs="Times New Roman"/>
          <w:sz w:val="24"/>
          <w:szCs w:val="24"/>
          <w:rtl/>
        </w:rPr>
        <w:t>האומר סמא את עיני, קטע את ידי, שבר את רגלי - חייב, ע"מ לפטור - חייב.</w:t>
      </w:r>
    </w:p>
    <w:p w14:paraId="04BC5AAC" w14:textId="366F9E34" w:rsidR="00B13513" w:rsidRDefault="00B13513" w:rsidP="00B13513">
      <w:pPr>
        <w:rPr>
          <w:rFonts w:ascii="Times New Roman" w:hAnsi="Times New Roman" w:cs="Times New Roman"/>
          <w:sz w:val="24"/>
          <w:szCs w:val="24"/>
          <w:rtl/>
        </w:rPr>
      </w:pPr>
      <w:r w:rsidRPr="00B13513">
        <w:rPr>
          <w:rFonts w:ascii="Times New Roman" w:hAnsi="Times New Roman" w:cs="Times New Roman"/>
          <w:sz w:val="24"/>
          <w:szCs w:val="24"/>
          <w:rtl/>
        </w:rPr>
        <w:t>קרע את כסותי, שבר את כדי - חייב, ע"מ לפטור - פטור.</w:t>
      </w:r>
    </w:p>
    <w:p w14:paraId="5417AD5A" w14:textId="71BDA151" w:rsidR="00B13513" w:rsidRPr="00B13513" w:rsidRDefault="00B13513" w:rsidP="00B13513">
      <w:pPr>
        <w:rPr>
          <w:rFonts w:ascii="Times New Roman" w:hAnsi="Times New Roman" w:cs="Times New Roman"/>
          <w:sz w:val="24"/>
          <w:szCs w:val="24"/>
          <w:rtl/>
        </w:rPr>
      </w:pPr>
      <w:r w:rsidRPr="00B13513">
        <w:rPr>
          <w:rFonts w:ascii="Times New Roman" w:hAnsi="Times New Roman" w:cs="Times New Roman"/>
          <w:sz w:val="24"/>
          <w:szCs w:val="24"/>
          <w:rtl/>
        </w:rPr>
        <w:t>דף צג עמוד א</w:t>
      </w:r>
    </w:p>
    <w:p w14:paraId="77FDA2A9" w14:textId="2B6235FB" w:rsidR="00B13513" w:rsidRDefault="00B13513" w:rsidP="00B13513">
      <w:pPr>
        <w:spacing w:after="0" w:line="360" w:lineRule="auto"/>
        <w:rPr>
          <w:rFonts w:ascii="Times New Roman" w:hAnsi="Times New Roman" w:cs="Times New Roman"/>
          <w:sz w:val="24"/>
          <w:szCs w:val="24"/>
          <w:rtl/>
        </w:rPr>
      </w:pPr>
      <w:r w:rsidRPr="00B13513">
        <w:rPr>
          <w:rFonts w:ascii="Times New Roman" w:hAnsi="Times New Roman" w:cs="Times New Roman"/>
          <w:sz w:val="24"/>
          <w:szCs w:val="24"/>
          <w:rtl/>
        </w:rPr>
        <w:t>האומר סמא את עיני כו'. א"ל רב אסי בר חמא לרבא: מאי שנא רישא ומאי שנא סיפא? אמר ליה: רישא, לפי שאין אדם מוחל על ראשי אברים. א"ל: וכי אדם מוחל על צערו? דתניא: הכני, פצעני, על מנת לפטור - פטור! אישתיק. אמר: מידי שמיע לך בהא? אמר ליה, הכי אמר רב ששת: משום פגם משפחה. איתמר, ר' אושעיא אמר: משום פגם משפחה; רבא אמר: משום שאין אדם מוחל על ראשי אברים שלו;</w:t>
      </w:r>
    </w:p>
    <w:p w14:paraId="2B9F3518" w14:textId="6E5B1B62" w:rsidR="002637F8" w:rsidRDefault="002637F8" w:rsidP="002637F8">
      <w:pPr>
        <w:spacing w:after="0" w:line="360" w:lineRule="auto"/>
        <w:rPr>
          <w:rFonts w:ascii="Times New Roman" w:hAnsi="Times New Roman" w:cs="Times New Roman"/>
          <w:sz w:val="24"/>
          <w:szCs w:val="24"/>
          <w:rtl/>
        </w:rPr>
      </w:pPr>
      <w:r w:rsidRPr="002637F8">
        <w:rPr>
          <w:rFonts w:ascii="Times New Roman" w:hAnsi="Times New Roman" w:cs="Times New Roman"/>
          <w:sz w:val="24"/>
          <w:szCs w:val="24"/>
          <w:rtl/>
        </w:rPr>
        <w:t>רבי יוחנן אמר: יש הן שהוא כלאו, ויש לאו שהוא כהן. תניא נמי הכי: הכני, פצעני, על מנת לפטור? ואמר לו הן? הרי יש הן שהוא כלאו; קרע את כסותי, על מנת לפטור? ואמר לו לאו? הרי לאו שהוא כהן.</w:t>
      </w:r>
    </w:p>
    <w:p w14:paraId="076F2EF3" w14:textId="76A70883" w:rsidR="00B13513" w:rsidRDefault="00B13513" w:rsidP="00B13513">
      <w:pPr>
        <w:jc w:val="center"/>
        <w:rPr>
          <w:rFonts w:ascii="Times New Roman" w:hAnsi="Times New Roman" w:cs="Times New Roman"/>
          <w:b/>
          <w:bCs/>
          <w:sz w:val="28"/>
          <w:szCs w:val="28"/>
          <w:u w:val="single"/>
          <w:rtl/>
        </w:rPr>
      </w:pPr>
      <w:r>
        <w:rPr>
          <w:rFonts w:ascii="Times New Roman" w:hAnsi="Times New Roman" w:cs="Times New Roman" w:hint="cs"/>
          <w:b/>
          <w:bCs/>
          <w:sz w:val="28"/>
          <w:szCs w:val="28"/>
          <w:u w:val="single"/>
          <w:rtl/>
        </w:rPr>
        <w:t>המזיק על מנת שיהיה פטור</w:t>
      </w:r>
    </w:p>
    <w:p w14:paraId="30EEFC84" w14:textId="5542157D" w:rsidR="00044D3F" w:rsidRPr="00DC2809" w:rsidRDefault="002637F8" w:rsidP="00DC2809">
      <w:pPr>
        <w:pStyle w:val="ab"/>
        <w:numPr>
          <w:ilvl w:val="0"/>
          <w:numId w:val="1"/>
        </w:numPr>
        <w:rPr>
          <w:rFonts w:ascii="Times New Roman" w:hAnsi="Times New Roman" w:cs="Times New Roman"/>
          <w:b/>
          <w:bCs/>
          <w:sz w:val="24"/>
          <w:szCs w:val="24"/>
          <w:rtl/>
        </w:rPr>
      </w:pPr>
      <w:r w:rsidRPr="00DC2809">
        <w:rPr>
          <w:rFonts w:ascii="Times New Roman" w:hAnsi="Times New Roman" w:cs="Times New Roman" w:hint="cs"/>
          <w:b/>
          <w:bCs/>
          <w:sz w:val="24"/>
          <w:szCs w:val="24"/>
          <w:rtl/>
        </w:rPr>
        <w:t>סיכום ה</w:t>
      </w:r>
      <w:r w:rsidR="00486477" w:rsidRPr="00DC2809">
        <w:rPr>
          <w:rFonts w:ascii="Times New Roman" w:hAnsi="Times New Roman" w:cs="Times New Roman" w:hint="cs"/>
          <w:b/>
          <w:bCs/>
          <w:sz w:val="24"/>
          <w:szCs w:val="24"/>
          <w:rtl/>
        </w:rPr>
        <w:t>דעות ב</w:t>
      </w:r>
      <w:r w:rsidRPr="00DC2809">
        <w:rPr>
          <w:rFonts w:ascii="Times New Roman" w:hAnsi="Times New Roman" w:cs="Times New Roman" w:hint="cs"/>
          <w:b/>
          <w:bCs/>
          <w:sz w:val="24"/>
          <w:szCs w:val="24"/>
          <w:rtl/>
        </w:rPr>
        <w:t>סוגיה</w:t>
      </w:r>
    </w:p>
    <w:p w14:paraId="5FC0110A" w14:textId="50971526" w:rsidR="002637F8" w:rsidRDefault="002637F8" w:rsidP="002637F8">
      <w:pPr>
        <w:spacing w:after="0" w:line="360" w:lineRule="auto"/>
        <w:rPr>
          <w:rFonts w:ascii="Times New Roman" w:hAnsi="Times New Roman" w:cs="Times New Roman"/>
          <w:sz w:val="24"/>
          <w:szCs w:val="24"/>
          <w:rtl/>
        </w:rPr>
      </w:pPr>
      <w:r w:rsidRPr="002637F8">
        <w:rPr>
          <w:rFonts w:ascii="Times New Roman" w:hAnsi="Times New Roman" w:cs="Times New Roman" w:hint="cs"/>
          <w:sz w:val="24"/>
          <w:szCs w:val="24"/>
          <w:rtl/>
        </w:rPr>
        <w:t>המשנה מחלקת</w:t>
      </w:r>
      <w:r>
        <w:rPr>
          <w:rFonts w:ascii="Times New Roman" w:hAnsi="Times New Roman" w:cs="Times New Roman" w:hint="cs"/>
          <w:sz w:val="24"/>
          <w:szCs w:val="24"/>
          <w:rtl/>
        </w:rPr>
        <w:t xml:space="preserve">: </w:t>
      </w:r>
      <w:r w:rsidR="00CA17B3">
        <w:rPr>
          <w:rFonts w:ascii="Times New Roman" w:hAnsi="Times New Roman" w:cs="Times New Roman" w:hint="cs"/>
          <w:sz w:val="24"/>
          <w:szCs w:val="24"/>
          <w:rtl/>
        </w:rPr>
        <w:t>ה</w:t>
      </w:r>
      <w:r>
        <w:rPr>
          <w:rFonts w:ascii="Times New Roman" w:hAnsi="Times New Roman" w:cs="Times New Roman" w:hint="cs"/>
          <w:sz w:val="24"/>
          <w:szCs w:val="24"/>
          <w:rtl/>
        </w:rPr>
        <w:t xml:space="preserve">מתנה שיהיה פטור על נזקי גוף של ראשי איברים, חייב. התניה דומה על נזקי ממון פוטרת. בפשטות החילוק הוא בין פגיעה בגוף לבין פגיעה בממון. רבא באמת מסביר שאין אדם מוחל על ראשי איברים. רב אסי בר חמא טוען שלפי היגיון זה יש לחייב גם הפוטר על סתם חבלה הנעשית בו. </w:t>
      </w:r>
    </w:p>
    <w:p w14:paraId="7BE31779" w14:textId="5B575FF9" w:rsidR="002637F8" w:rsidRPr="00CA17B3" w:rsidRDefault="002637F8" w:rsidP="00CA17B3">
      <w:pPr>
        <w:spacing w:after="0" w:line="360" w:lineRule="auto"/>
        <w:rPr>
          <w:rFonts w:ascii="Times New Roman" w:hAnsi="Times New Roman" w:cs="Times New Roman"/>
          <w:sz w:val="24"/>
          <w:szCs w:val="24"/>
          <w:rtl/>
        </w:rPr>
      </w:pPr>
      <w:r>
        <w:rPr>
          <w:rFonts w:ascii="Times New Roman" w:hAnsi="Times New Roman" w:cs="Times New Roman" w:hint="cs"/>
          <w:sz w:val="24"/>
          <w:szCs w:val="24"/>
          <w:rtl/>
        </w:rPr>
        <w:t xml:space="preserve">אולם, </w:t>
      </w:r>
      <w:r w:rsidR="00CA17B3">
        <w:rPr>
          <w:rFonts w:ascii="Times New Roman" w:hAnsi="Times New Roman" w:cs="Times New Roman" w:hint="cs"/>
          <w:sz w:val="24"/>
          <w:szCs w:val="24"/>
          <w:rtl/>
        </w:rPr>
        <w:t xml:space="preserve">בניגוד לכך, </w:t>
      </w:r>
      <w:r>
        <w:rPr>
          <w:rFonts w:ascii="Times New Roman" w:hAnsi="Times New Roman" w:cs="Times New Roman" w:hint="cs"/>
          <w:sz w:val="24"/>
          <w:szCs w:val="24"/>
          <w:rtl/>
        </w:rPr>
        <w:t>ישנה ברייתא הפוטרת גם כשנתן רשות לפצוע אותו. לפיכך מציעים רב ששת ורב אושעיא שהפטור אינו תקף, מחמת פגם משפחה. נימוק זה קיים רק לגבי ראשי איברים, ולא לגבי צער חבלה השבה לאיתנה. הגמרא חוזרת על דברי רבא, ומבאר רש"י</w:t>
      </w:r>
      <w:r>
        <w:rPr>
          <w:rStyle w:val="a5"/>
          <w:rFonts w:ascii="Times New Roman" w:hAnsi="Times New Roman" w:cs="Times New Roman"/>
          <w:sz w:val="24"/>
          <w:szCs w:val="24"/>
          <w:rtl/>
        </w:rPr>
        <w:footnoteReference w:id="1"/>
      </w:r>
      <w:r>
        <w:rPr>
          <w:rFonts w:ascii="Times New Roman" w:hAnsi="Times New Roman" w:cs="Times New Roman" w:hint="cs"/>
          <w:sz w:val="24"/>
          <w:szCs w:val="24"/>
          <w:rtl/>
        </w:rPr>
        <w:t xml:space="preserve">: </w:t>
      </w:r>
      <w:r w:rsidRPr="002637F8">
        <w:rPr>
          <w:rFonts w:ascii="David" w:hAnsi="David" w:cs="David"/>
          <w:sz w:val="24"/>
          <w:szCs w:val="24"/>
          <w:rtl/>
        </w:rPr>
        <w:t>"וברייתא לא תקשי</w:t>
      </w:r>
      <w:r w:rsidR="00CA17B3">
        <w:rPr>
          <w:rFonts w:ascii="David" w:hAnsi="David" w:cs="David" w:hint="cs"/>
          <w:sz w:val="24"/>
          <w:szCs w:val="24"/>
          <w:rtl/>
        </w:rPr>
        <w:t>,</w:t>
      </w:r>
      <w:r w:rsidRPr="002637F8">
        <w:rPr>
          <w:rFonts w:ascii="David" w:hAnsi="David" w:cs="David"/>
          <w:sz w:val="24"/>
          <w:szCs w:val="24"/>
          <w:rtl/>
        </w:rPr>
        <w:t xml:space="preserve"> דעל צערו מוחל אדם".</w:t>
      </w:r>
      <w:r>
        <w:rPr>
          <w:rFonts w:ascii="David" w:hAnsi="David" w:cs="David" w:hint="cs"/>
          <w:sz w:val="24"/>
          <w:szCs w:val="24"/>
          <w:rtl/>
        </w:rPr>
        <w:t xml:space="preserve"> </w:t>
      </w:r>
      <w:r>
        <w:rPr>
          <w:rFonts w:ascii="Times New Roman" w:hAnsi="Times New Roman" w:cs="Times New Roman" w:hint="cs"/>
          <w:sz w:val="24"/>
          <w:szCs w:val="24"/>
          <w:rtl/>
        </w:rPr>
        <w:t xml:space="preserve"> </w:t>
      </w:r>
      <w:r w:rsidR="00397FC5">
        <w:rPr>
          <w:rFonts w:ascii="Times New Roman" w:hAnsi="Times New Roman" w:cs="Times New Roman" w:hint="cs"/>
          <w:sz w:val="24"/>
          <w:szCs w:val="24"/>
          <w:rtl/>
        </w:rPr>
        <w:t>רבי יוחנן מחדש, שישנ</w:t>
      </w:r>
      <w:r w:rsidR="00CA17B3">
        <w:rPr>
          <w:rFonts w:ascii="Times New Roman" w:hAnsi="Times New Roman" w:cs="Times New Roman" w:hint="cs"/>
          <w:sz w:val="24"/>
          <w:szCs w:val="24"/>
          <w:rtl/>
        </w:rPr>
        <w:t>ן</w:t>
      </w:r>
      <w:r w:rsidR="00397FC5">
        <w:rPr>
          <w:rFonts w:ascii="Times New Roman" w:hAnsi="Times New Roman" w:cs="Times New Roman" w:hint="cs"/>
          <w:sz w:val="24"/>
          <w:szCs w:val="24"/>
          <w:rtl/>
        </w:rPr>
        <w:t xml:space="preserve"> אמירות דו משמעיות. כשה</w:t>
      </w:r>
      <w:r w:rsidR="00486477">
        <w:rPr>
          <w:rFonts w:ascii="Times New Roman" w:hAnsi="Times New Roman" w:cs="Times New Roman" w:hint="cs"/>
          <w:sz w:val="24"/>
          <w:szCs w:val="24"/>
          <w:rtl/>
        </w:rPr>
        <w:t>נ</w:t>
      </w:r>
      <w:r w:rsidR="00397FC5">
        <w:rPr>
          <w:rFonts w:ascii="Times New Roman" w:hAnsi="Times New Roman" w:cs="Times New Roman" w:hint="cs"/>
          <w:sz w:val="24"/>
          <w:szCs w:val="24"/>
          <w:rtl/>
        </w:rPr>
        <w:t>פגע אומר רק 'הן' דבריו ניתנים להבנה כפשטם, או בתמיהה. נ</w:t>
      </w:r>
      <w:r w:rsidR="000236A9">
        <w:rPr>
          <w:rFonts w:ascii="Times New Roman" w:hAnsi="Times New Roman" w:cs="Times New Roman" w:hint="cs"/>
          <w:sz w:val="24"/>
          <w:szCs w:val="24"/>
          <w:rtl/>
        </w:rPr>
        <w:t>יתן להבין</w:t>
      </w:r>
      <w:r w:rsidR="00397FC5">
        <w:rPr>
          <w:rFonts w:ascii="Times New Roman" w:hAnsi="Times New Roman" w:cs="Times New Roman" w:hint="cs"/>
          <w:sz w:val="24"/>
          <w:szCs w:val="24"/>
          <w:rtl/>
        </w:rPr>
        <w:t xml:space="preserve"> שרבי יוחנן אומר, ש</w:t>
      </w:r>
      <w:r w:rsidR="00486477">
        <w:rPr>
          <w:rFonts w:ascii="Times New Roman" w:hAnsi="Times New Roman" w:cs="Times New Roman" w:hint="cs"/>
          <w:sz w:val="24"/>
          <w:szCs w:val="24"/>
          <w:rtl/>
        </w:rPr>
        <w:t xml:space="preserve">אין הבדל של ממש בין </w:t>
      </w:r>
      <w:r w:rsidR="00397FC5">
        <w:rPr>
          <w:rFonts w:ascii="Times New Roman" w:hAnsi="Times New Roman" w:cs="Times New Roman" w:hint="cs"/>
          <w:sz w:val="24"/>
          <w:szCs w:val="24"/>
          <w:rtl/>
        </w:rPr>
        <w:t xml:space="preserve">פגיעות גוף </w:t>
      </w:r>
      <w:r w:rsidR="00486477">
        <w:rPr>
          <w:rFonts w:ascii="Times New Roman" w:hAnsi="Times New Roman" w:cs="Times New Roman" w:hint="cs"/>
          <w:sz w:val="24"/>
          <w:szCs w:val="24"/>
          <w:rtl/>
        </w:rPr>
        <w:t xml:space="preserve">לבין </w:t>
      </w:r>
      <w:r w:rsidR="00397FC5">
        <w:rPr>
          <w:rFonts w:ascii="Times New Roman" w:hAnsi="Times New Roman" w:cs="Times New Roman" w:hint="cs"/>
          <w:sz w:val="24"/>
          <w:szCs w:val="24"/>
          <w:rtl/>
        </w:rPr>
        <w:t>פגיעות ממוניות</w:t>
      </w:r>
      <w:r w:rsidR="00486477">
        <w:rPr>
          <w:rFonts w:ascii="Times New Roman" w:hAnsi="Times New Roman" w:cs="Times New Roman" w:hint="cs"/>
          <w:sz w:val="24"/>
          <w:szCs w:val="24"/>
          <w:rtl/>
        </w:rPr>
        <w:t xml:space="preserve">. </w:t>
      </w:r>
      <w:r w:rsidR="00010341">
        <w:rPr>
          <w:rFonts w:ascii="David" w:hAnsi="David" w:cs="David" w:hint="cs"/>
          <w:sz w:val="24"/>
          <w:szCs w:val="24"/>
          <w:rtl/>
        </w:rPr>
        <w:t>"</w:t>
      </w:r>
      <w:r w:rsidR="00010341" w:rsidRPr="00397FC5">
        <w:rPr>
          <w:rFonts w:ascii="David" w:hAnsi="David" w:cs="David"/>
          <w:sz w:val="24"/>
          <w:szCs w:val="24"/>
          <w:rtl/>
        </w:rPr>
        <w:t>והאי דנקט חיובא לגבי מכה ופוצע</w:t>
      </w:r>
      <w:r w:rsidR="00010341">
        <w:rPr>
          <w:rFonts w:ascii="David" w:hAnsi="David" w:cs="David" w:hint="cs"/>
          <w:sz w:val="24"/>
          <w:szCs w:val="24"/>
          <w:rtl/>
        </w:rPr>
        <w:t>,</w:t>
      </w:r>
      <w:r w:rsidR="00010341" w:rsidRPr="00397FC5">
        <w:rPr>
          <w:rFonts w:ascii="David" w:hAnsi="David" w:cs="David"/>
          <w:sz w:val="24"/>
          <w:szCs w:val="24"/>
          <w:rtl/>
        </w:rPr>
        <w:t xml:space="preserve"> ופטורה לגבי ממונא</w:t>
      </w:r>
      <w:r w:rsidR="00865B8F">
        <w:rPr>
          <w:rFonts w:ascii="David" w:hAnsi="David" w:cs="David" w:hint="cs"/>
          <w:sz w:val="24"/>
          <w:szCs w:val="24"/>
          <w:rtl/>
        </w:rPr>
        <w:t>,</w:t>
      </w:r>
      <w:r w:rsidR="00010341" w:rsidRPr="00397FC5">
        <w:rPr>
          <w:rFonts w:ascii="David" w:hAnsi="David" w:cs="David"/>
          <w:sz w:val="24"/>
          <w:szCs w:val="24"/>
          <w:rtl/>
        </w:rPr>
        <w:t xml:space="preserve"> אורחיה דמילתא נקט</w:t>
      </w:r>
      <w:r w:rsidR="00865B8F">
        <w:rPr>
          <w:rFonts w:ascii="David" w:hAnsi="David" w:cs="David" w:hint="cs"/>
          <w:sz w:val="24"/>
          <w:szCs w:val="24"/>
          <w:rtl/>
        </w:rPr>
        <w:t>,</w:t>
      </w:r>
      <w:r w:rsidR="00010341" w:rsidRPr="00397FC5">
        <w:rPr>
          <w:rFonts w:ascii="David" w:hAnsi="David" w:cs="David"/>
          <w:sz w:val="24"/>
          <w:szCs w:val="24"/>
          <w:rtl/>
        </w:rPr>
        <w:t xml:space="preserve"> דמחיל איניש אממוניה טפי מגופיה</w:t>
      </w:r>
      <w:r w:rsidR="00010341" w:rsidRPr="00397FC5">
        <w:rPr>
          <w:rStyle w:val="a5"/>
          <w:rFonts w:ascii="David" w:hAnsi="David" w:cs="David"/>
          <w:sz w:val="24"/>
          <w:szCs w:val="24"/>
          <w:rtl/>
        </w:rPr>
        <w:footnoteReference w:id="2"/>
      </w:r>
      <w:r w:rsidR="00010341">
        <w:rPr>
          <w:rFonts w:ascii="David" w:hAnsi="David" w:cs="David" w:hint="cs"/>
          <w:sz w:val="24"/>
          <w:szCs w:val="24"/>
          <w:rtl/>
        </w:rPr>
        <w:t>"</w:t>
      </w:r>
      <w:r w:rsidR="00010341" w:rsidRPr="00397FC5">
        <w:rPr>
          <w:rFonts w:ascii="David" w:hAnsi="David" w:cs="David"/>
          <w:sz w:val="24"/>
          <w:szCs w:val="24"/>
          <w:rtl/>
        </w:rPr>
        <w:t>.</w:t>
      </w:r>
      <w:r w:rsidR="00486477">
        <w:rPr>
          <w:rFonts w:ascii="Times New Roman" w:hAnsi="Times New Roman" w:cs="Times New Roman" w:hint="cs"/>
          <w:sz w:val="24"/>
          <w:szCs w:val="24"/>
          <w:rtl/>
        </w:rPr>
        <w:t>כך הבינו בעלי התוספות בדברי</w:t>
      </w:r>
      <w:r w:rsidR="00341C92">
        <w:rPr>
          <w:rFonts w:ascii="Times New Roman" w:hAnsi="Times New Roman" w:cs="Times New Roman" w:hint="cs"/>
          <w:sz w:val="24"/>
          <w:szCs w:val="24"/>
          <w:rtl/>
        </w:rPr>
        <w:t xml:space="preserve"> רש"י</w:t>
      </w:r>
      <w:r w:rsidR="00486477">
        <w:rPr>
          <w:rFonts w:ascii="Times New Roman" w:hAnsi="Times New Roman" w:cs="Times New Roman" w:hint="cs"/>
          <w:sz w:val="24"/>
          <w:szCs w:val="24"/>
          <w:rtl/>
        </w:rPr>
        <w:t xml:space="preserve">: </w:t>
      </w:r>
      <w:r w:rsidR="00486477" w:rsidRPr="00486477">
        <w:rPr>
          <w:rFonts w:ascii="David" w:hAnsi="David" w:cs="David"/>
          <w:sz w:val="24"/>
          <w:szCs w:val="24"/>
          <w:rtl/>
        </w:rPr>
        <w:t>"בין רישא ובין סיפא, אם א"ל: 'לאו?' בתמיה, הוי כ</w:t>
      </w:r>
      <w:r w:rsidR="00CA17B3">
        <w:rPr>
          <w:rFonts w:ascii="David" w:hAnsi="David" w:cs="David" w:hint="cs"/>
          <w:sz w:val="24"/>
          <w:szCs w:val="24"/>
          <w:rtl/>
        </w:rPr>
        <w:t>'</w:t>
      </w:r>
      <w:r w:rsidR="00486477" w:rsidRPr="00486477">
        <w:rPr>
          <w:rFonts w:ascii="David" w:hAnsi="David" w:cs="David"/>
          <w:sz w:val="24"/>
          <w:szCs w:val="24"/>
          <w:rtl/>
        </w:rPr>
        <w:t>הן</w:t>
      </w:r>
      <w:r w:rsidR="00CA17B3">
        <w:rPr>
          <w:rFonts w:ascii="David" w:hAnsi="David" w:cs="David" w:hint="cs"/>
          <w:sz w:val="24"/>
          <w:szCs w:val="24"/>
          <w:rtl/>
        </w:rPr>
        <w:t>'</w:t>
      </w:r>
      <w:r w:rsidR="00486477" w:rsidRPr="00486477">
        <w:rPr>
          <w:rFonts w:ascii="David" w:hAnsi="David" w:cs="David"/>
          <w:sz w:val="24"/>
          <w:szCs w:val="24"/>
          <w:rtl/>
        </w:rPr>
        <w:t>. ואם א"ל: 'הן?' בתמיה, הוי כ</w:t>
      </w:r>
      <w:r w:rsidR="00CA17B3">
        <w:rPr>
          <w:rFonts w:ascii="David" w:hAnsi="David" w:cs="David" w:hint="cs"/>
          <w:sz w:val="24"/>
          <w:szCs w:val="24"/>
          <w:rtl/>
        </w:rPr>
        <w:t>'</w:t>
      </w:r>
      <w:r w:rsidR="00486477" w:rsidRPr="00486477">
        <w:rPr>
          <w:rFonts w:ascii="David" w:hAnsi="David" w:cs="David"/>
          <w:sz w:val="24"/>
          <w:szCs w:val="24"/>
          <w:rtl/>
        </w:rPr>
        <w:t>לאו</w:t>
      </w:r>
      <w:r w:rsidR="00CA17B3">
        <w:rPr>
          <w:rFonts w:ascii="David" w:hAnsi="David" w:cs="David" w:hint="cs"/>
          <w:sz w:val="24"/>
          <w:szCs w:val="24"/>
          <w:rtl/>
        </w:rPr>
        <w:t>'</w:t>
      </w:r>
      <w:r w:rsidR="00486477" w:rsidRPr="00486477">
        <w:rPr>
          <w:rFonts w:ascii="David" w:hAnsi="David" w:cs="David"/>
          <w:sz w:val="24"/>
          <w:szCs w:val="24"/>
          <w:rtl/>
        </w:rPr>
        <w:t>. והו"מ למיתני ברישא תרוייהו נזקי גופו וממונו, וכן בסיפא אלא אורחא דמילתא נקט, שדרך למחול על נזקי ממון ואין דרך למחול על נזקי גוף, ודוחק הוא</w:t>
      </w:r>
      <w:r w:rsidR="00486477" w:rsidRPr="00486477">
        <w:rPr>
          <w:rStyle w:val="a5"/>
          <w:rFonts w:ascii="David" w:hAnsi="David" w:cs="David"/>
          <w:sz w:val="24"/>
          <w:szCs w:val="24"/>
          <w:rtl/>
        </w:rPr>
        <w:footnoteReference w:id="3"/>
      </w:r>
      <w:r w:rsidR="00486477" w:rsidRPr="00486477">
        <w:rPr>
          <w:rFonts w:ascii="David" w:hAnsi="David" w:cs="David"/>
          <w:sz w:val="24"/>
          <w:szCs w:val="24"/>
          <w:rtl/>
        </w:rPr>
        <w:t>".</w:t>
      </w:r>
      <w:r w:rsidR="00486477">
        <w:rPr>
          <w:rFonts w:ascii="Times New Roman" w:hAnsi="Times New Roman" w:cs="Times New Roman" w:hint="cs"/>
          <w:sz w:val="24"/>
          <w:szCs w:val="24"/>
          <w:rtl/>
        </w:rPr>
        <w:t xml:space="preserve"> מכל מקום הברייתא דברה בפטור ברור: </w:t>
      </w:r>
      <w:r w:rsidR="00397FC5" w:rsidRPr="00397FC5">
        <w:rPr>
          <w:rFonts w:ascii="David" w:hAnsi="David" w:cs="David"/>
          <w:sz w:val="24"/>
          <w:szCs w:val="24"/>
          <w:rtl/>
        </w:rPr>
        <w:t>"ברייתא דלעיל דקתני הכני ופצעני ע"מ לפטור פטור</w:t>
      </w:r>
      <w:r w:rsidR="00865B8F">
        <w:rPr>
          <w:rFonts w:ascii="David" w:hAnsi="David" w:cs="David" w:hint="cs"/>
          <w:sz w:val="24"/>
          <w:szCs w:val="24"/>
          <w:rtl/>
        </w:rPr>
        <w:t>,</w:t>
      </w:r>
      <w:r w:rsidR="00397FC5" w:rsidRPr="00397FC5">
        <w:rPr>
          <w:rFonts w:ascii="David" w:hAnsi="David" w:cs="David"/>
          <w:sz w:val="24"/>
          <w:szCs w:val="24"/>
          <w:rtl/>
        </w:rPr>
        <w:t xml:space="preserve"> בדאמר נחבל </w:t>
      </w:r>
      <w:r w:rsidR="00397FC5" w:rsidRPr="00397FC5">
        <w:rPr>
          <w:rFonts w:ascii="David" w:hAnsi="David" w:cs="David"/>
          <w:b/>
          <w:bCs/>
          <w:sz w:val="24"/>
          <w:szCs w:val="24"/>
          <w:rtl/>
        </w:rPr>
        <w:t>כולה מילתא</w:t>
      </w:r>
      <w:r w:rsidR="00397FC5" w:rsidRPr="00397FC5">
        <w:rPr>
          <w:rFonts w:ascii="David" w:hAnsi="David" w:cs="David"/>
          <w:sz w:val="24"/>
          <w:szCs w:val="24"/>
          <w:rtl/>
        </w:rPr>
        <w:t>: 'הכני ופצעני ע"מ לפטור</w:t>
      </w:r>
      <w:r w:rsidR="00397FC5">
        <w:rPr>
          <w:rFonts w:ascii="David" w:hAnsi="David" w:cs="David" w:hint="cs"/>
          <w:sz w:val="24"/>
          <w:szCs w:val="24"/>
          <w:rtl/>
        </w:rPr>
        <w:t>'</w:t>
      </w:r>
      <w:r w:rsidR="000236A9">
        <w:rPr>
          <w:rFonts w:ascii="David" w:hAnsi="David" w:cs="David" w:hint="cs"/>
          <w:sz w:val="24"/>
          <w:szCs w:val="24"/>
          <w:rtl/>
        </w:rPr>
        <w:t>,</w:t>
      </w:r>
      <w:r w:rsidR="00397FC5" w:rsidRPr="00397FC5">
        <w:rPr>
          <w:rFonts w:ascii="David" w:hAnsi="David" w:cs="David"/>
          <w:sz w:val="24"/>
          <w:szCs w:val="24"/>
          <w:rtl/>
        </w:rPr>
        <w:t xml:space="preserve"> דהא ודאי דוקא אמר ליה</w:t>
      </w:r>
      <w:r w:rsidR="00397FC5">
        <w:rPr>
          <w:rStyle w:val="a5"/>
          <w:rFonts w:ascii="David" w:hAnsi="David" w:cs="David"/>
          <w:sz w:val="24"/>
          <w:szCs w:val="24"/>
          <w:rtl/>
        </w:rPr>
        <w:footnoteReference w:id="4"/>
      </w:r>
      <w:r w:rsidR="00397FC5">
        <w:rPr>
          <w:rFonts w:ascii="David" w:hAnsi="David" w:cs="David" w:hint="cs"/>
          <w:sz w:val="24"/>
          <w:szCs w:val="24"/>
          <w:rtl/>
        </w:rPr>
        <w:t>"</w:t>
      </w:r>
      <w:r w:rsidR="00397FC5" w:rsidRPr="00397FC5">
        <w:rPr>
          <w:rFonts w:ascii="David" w:hAnsi="David" w:cs="David"/>
          <w:sz w:val="24"/>
          <w:szCs w:val="24"/>
          <w:rtl/>
        </w:rPr>
        <w:t>.</w:t>
      </w:r>
      <w:r w:rsidR="00397FC5">
        <w:rPr>
          <w:rFonts w:ascii="David" w:hAnsi="David" w:cs="David" w:hint="cs"/>
          <w:sz w:val="24"/>
          <w:szCs w:val="24"/>
          <w:rtl/>
        </w:rPr>
        <w:t xml:space="preserve"> </w:t>
      </w:r>
      <w:r w:rsidR="00010341">
        <w:rPr>
          <w:rFonts w:ascii="Times New Roman" w:hAnsi="Times New Roman" w:cs="Times New Roman" w:hint="cs"/>
          <w:sz w:val="24"/>
          <w:szCs w:val="24"/>
          <w:rtl/>
        </w:rPr>
        <w:t xml:space="preserve">בפני יהושע מבאר בשיטת רש"י: </w:t>
      </w:r>
      <w:r w:rsidR="00010341" w:rsidRPr="000236A9">
        <w:rPr>
          <w:rFonts w:ascii="Times New Roman" w:hAnsi="Times New Roman" w:cs="Times New Roman" w:hint="cs"/>
          <w:b/>
          <w:bCs/>
          <w:sz w:val="24"/>
          <w:szCs w:val="24"/>
          <w:rtl/>
        </w:rPr>
        <w:t>המשנה</w:t>
      </w:r>
      <w:r w:rsidR="00010341">
        <w:rPr>
          <w:rFonts w:ascii="Times New Roman" w:hAnsi="Times New Roman" w:cs="Times New Roman" w:hint="cs"/>
          <w:sz w:val="24"/>
          <w:szCs w:val="24"/>
          <w:rtl/>
        </w:rPr>
        <w:t xml:space="preserve"> דברה </w:t>
      </w:r>
      <w:r w:rsidR="000236A9">
        <w:rPr>
          <w:rFonts w:ascii="Times New Roman" w:hAnsi="Times New Roman" w:cs="Times New Roman" w:hint="cs"/>
          <w:sz w:val="24"/>
          <w:szCs w:val="24"/>
          <w:rtl/>
        </w:rPr>
        <w:t xml:space="preserve">על </w:t>
      </w:r>
      <w:r w:rsidR="00010341">
        <w:rPr>
          <w:rFonts w:ascii="Times New Roman" w:hAnsi="Times New Roman" w:cs="Times New Roman" w:hint="cs"/>
          <w:sz w:val="24"/>
          <w:szCs w:val="24"/>
          <w:rtl/>
        </w:rPr>
        <w:t xml:space="preserve">לשון מסופקת, ומכאן ההבדל בין גופו לממונו: </w:t>
      </w:r>
      <w:r w:rsidR="00010341" w:rsidRPr="00010341">
        <w:rPr>
          <w:rFonts w:ascii="David" w:hAnsi="David" w:cs="David"/>
          <w:sz w:val="24"/>
          <w:szCs w:val="24"/>
          <w:rtl/>
        </w:rPr>
        <w:t>"כגון דאמר הן בסתמא, דברישא בנזקי גופו דיינינן ליה בלשון בתמיה והוא כ</w:t>
      </w:r>
      <w:r w:rsidR="00865B8F">
        <w:rPr>
          <w:rFonts w:ascii="David" w:hAnsi="David" w:cs="David" w:hint="cs"/>
          <w:sz w:val="24"/>
          <w:szCs w:val="24"/>
          <w:rtl/>
        </w:rPr>
        <w:t>'</w:t>
      </w:r>
      <w:r w:rsidR="00010341" w:rsidRPr="00010341">
        <w:rPr>
          <w:rFonts w:ascii="David" w:hAnsi="David" w:cs="David"/>
          <w:sz w:val="24"/>
          <w:szCs w:val="24"/>
          <w:rtl/>
        </w:rPr>
        <w:t>הן</w:t>
      </w:r>
      <w:r w:rsidR="00865B8F">
        <w:rPr>
          <w:rFonts w:ascii="David" w:hAnsi="David" w:cs="David" w:hint="cs"/>
          <w:sz w:val="24"/>
          <w:szCs w:val="24"/>
          <w:rtl/>
        </w:rPr>
        <w:t>'</w:t>
      </w:r>
      <w:r w:rsidR="00010341" w:rsidRPr="00010341">
        <w:rPr>
          <w:rFonts w:ascii="David" w:hAnsi="David" w:cs="David"/>
          <w:sz w:val="24"/>
          <w:szCs w:val="24"/>
          <w:rtl/>
        </w:rPr>
        <w:t>, ובסיפא בנזקי גופו דיינינן ליה בניחותא..</w:t>
      </w:r>
      <w:r w:rsidR="00010341" w:rsidRPr="00010341">
        <w:rPr>
          <w:rtl/>
        </w:rPr>
        <w:t xml:space="preserve"> </w:t>
      </w:r>
      <w:r w:rsidR="00010341">
        <w:rPr>
          <w:rFonts w:ascii="Times New Roman" w:hAnsi="Times New Roman" w:cs="Times New Roman" w:hint="cs"/>
          <w:sz w:val="24"/>
          <w:szCs w:val="24"/>
          <w:rtl/>
        </w:rPr>
        <w:t xml:space="preserve"> אולם הברייתא דנה בלאו שמתפרש בבירור </w:t>
      </w:r>
      <w:r w:rsidR="00010341">
        <w:rPr>
          <w:rFonts w:ascii="Times New Roman" w:hAnsi="Times New Roman" w:cs="Times New Roman" w:hint="cs"/>
          <w:sz w:val="24"/>
          <w:szCs w:val="24"/>
          <w:rtl/>
        </w:rPr>
        <w:lastRenderedPageBreak/>
        <w:t>כ</w:t>
      </w:r>
      <w:r w:rsidR="00865B8F">
        <w:rPr>
          <w:rFonts w:ascii="Times New Roman" w:hAnsi="Times New Roman" w:cs="Times New Roman" w:hint="cs"/>
          <w:sz w:val="24"/>
          <w:szCs w:val="24"/>
          <w:rtl/>
        </w:rPr>
        <w:t>'</w:t>
      </w:r>
      <w:r w:rsidR="00010341">
        <w:rPr>
          <w:rFonts w:ascii="Times New Roman" w:hAnsi="Times New Roman" w:cs="Times New Roman" w:hint="cs"/>
          <w:sz w:val="24"/>
          <w:szCs w:val="24"/>
          <w:rtl/>
        </w:rPr>
        <w:t>הן</w:t>
      </w:r>
      <w:r w:rsidR="00865B8F">
        <w:rPr>
          <w:rFonts w:ascii="Times New Roman" w:hAnsi="Times New Roman" w:cs="Times New Roman" w:hint="cs"/>
          <w:sz w:val="24"/>
          <w:szCs w:val="24"/>
          <w:rtl/>
        </w:rPr>
        <w:t>'</w:t>
      </w:r>
      <w:r w:rsidR="00010341">
        <w:rPr>
          <w:rFonts w:ascii="Times New Roman" w:hAnsi="Times New Roman" w:cs="Times New Roman" w:hint="cs"/>
          <w:sz w:val="24"/>
          <w:szCs w:val="24"/>
          <w:rtl/>
        </w:rPr>
        <w:t xml:space="preserve">, שאז: </w:t>
      </w:r>
      <w:r w:rsidR="00010341">
        <w:rPr>
          <w:rFonts w:ascii="David" w:hAnsi="David" w:cs="David" w:hint="cs"/>
          <w:sz w:val="24"/>
          <w:szCs w:val="24"/>
          <w:rtl/>
        </w:rPr>
        <w:t>"</w:t>
      </w:r>
      <w:r w:rsidR="00010341" w:rsidRPr="00010341">
        <w:rPr>
          <w:rFonts w:ascii="David" w:hAnsi="David" w:cs="David"/>
          <w:sz w:val="24"/>
          <w:szCs w:val="24"/>
          <w:rtl/>
        </w:rPr>
        <w:t>במה שנראה מדבריו בפירוש</w:t>
      </w:r>
      <w:r w:rsidR="00CA17B3">
        <w:rPr>
          <w:rFonts w:ascii="David" w:hAnsi="David" w:cs="David" w:hint="cs"/>
          <w:sz w:val="24"/>
          <w:szCs w:val="24"/>
          <w:rtl/>
        </w:rPr>
        <w:t>,</w:t>
      </w:r>
      <w:r w:rsidR="00010341" w:rsidRPr="00010341">
        <w:rPr>
          <w:rFonts w:ascii="David" w:hAnsi="David" w:cs="David"/>
          <w:sz w:val="24"/>
          <w:szCs w:val="24"/>
          <w:rtl/>
        </w:rPr>
        <w:t xml:space="preserve"> לא שייך לחלק</w:t>
      </w:r>
      <w:r w:rsidR="00865B8F">
        <w:rPr>
          <w:rFonts w:ascii="David" w:hAnsi="David" w:cs="David" w:hint="cs"/>
          <w:sz w:val="24"/>
          <w:szCs w:val="24"/>
          <w:rtl/>
        </w:rPr>
        <w:t xml:space="preserve">, </w:t>
      </w:r>
      <w:r w:rsidR="00010341" w:rsidRPr="00010341">
        <w:rPr>
          <w:rFonts w:ascii="David" w:hAnsi="David" w:cs="David"/>
          <w:sz w:val="24"/>
          <w:szCs w:val="24"/>
          <w:rtl/>
        </w:rPr>
        <w:t>כיון דאסיקנא דמוחל על הכל</w:t>
      </w:r>
      <w:r w:rsidR="00010341">
        <w:rPr>
          <w:rStyle w:val="a5"/>
          <w:rFonts w:ascii="David" w:hAnsi="David" w:cs="David"/>
          <w:sz w:val="24"/>
          <w:szCs w:val="24"/>
          <w:rtl/>
        </w:rPr>
        <w:footnoteReference w:id="5"/>
      </w:r>
      <w:r w:rsidR="00010341">
        <w:rPr>
          <w:rFonts w:ascii="David" w:hAnsi="David" w:cs="David" w:hint="cs"/>
          <w:sz w:val="24"/>
          <w:szCs w:val="24"/>
          <w:rtl/>
        </w:rPr>
        <w:t>".</w:t>
      </w:r>
      <w:r w:rsidR="000236A9">
        <w:rPr>
          <w:rFonts w:ascii="David" w:hAnsi="David" w:cs="David" w:hint="cs"/>
          <w:sz w:val="24"/>
          <w:szCs w:val="24"/>
          <w:rtl/>
        </w:rPr>
        <w:t xml:space="preserve"> </w:t>
      </w:r>
      <w:r w:rsidR="000236A9">
        <w:rPr>
          <w:rFonts w:asciiTheme="majorBidi" w:hAnsiTheme="majorBidi" w:cstheme="majorBidi" w:hint="cs"/>
          <w:sz w:val="24"/>
          <w:szCs w:val="24"/>
          <w:rtl/>
        </w:rPr>
        <w:t xml:space="preserve">דעת בעלי התוספות היא שרבי יוחנן מחלק בלשון מסופקת בין נזקי ממון לבין נזקי גוף: </w:t>
      </w:r>
      <w:r w:rsidR="000236A9" w:rsidRPr="000236A9">
        <w:rPr>
          <w:rFonts w:ascii="David" w:hAnsi="David" w:cs="David"/>
          <w:sz w:val="24"/>
          <w:szCs w:val="24"/>
          <w:rtl/>
        </w:rPr>
        <w:t>"דנזקי גופו אפי' א"ל הן שדומה כאומר בניחותא</w:t>
      </w:r>
      <w:r w:rsidR="00C9025C">
        <w:rPr>
          <w:rFonts w:ascii="David" w:hAnsi="David" w:cs="David" w:hint="cs"/>
          <w:sz w:val="24"/>
          <w:szCs w:val="24"/>
          <w:rtl/>
        </w:rPr>
        <w:t>,</w:t>
      </w:r>
      <w:r w:rsidR="000236A9" w:rsidRPr="000236A9">
        <w:rPr>
          <w:rFonts w:ascii="David" w:hAnsi="David" w:cs="David"/>
          <w:sz w:val="24"/>
          <w:szCs w:val="24"/>
          <w:rtl/>
        </w:rPr>
        <w:t xml:space="preserve"> מסתמא בתמיה קאמר</w:t>
      </w:r>
      <w:r w:rsidR="00C9025C">
        <w:rPr>
          <w:rFonts w:ascii="David" w:hAnsi="David" w:cs="David" w:hint="cs"/>
          <w:sz w:val="24"/>
          <w:szCs w:val="24"/>
          <w:rtl/>
        </w:rPr>
        <w:t>.</w:t>
      </w:r>
      <w:r w:rsidR="000236A9" w:rsidRPr="000236A9">
        <w:rPr>
          <w:rFonts w:ascii="David" w:hAnsi="David" w:cs="David"/>
          <w:sz w:val="24"/>
          <w:szCs w:val="24"/>
          <w:rtl/>
        </w:rPr>
        <w:t xml:space="preserve"> ובנזקי ממונא אמר ליה לאו</w:t>
      </w:r>
      <w:r w:rsidR="00CA17B3">
        <w:rPr>
          <w:rFonts w:ascii="David" w:hAnsi="David" w:cs="David" w:hint="cs"/>
          <w:sz w:val="24"/>
          <w:szCs w:val="24"/>
          <w:rtl/>
        </w:rPr>
        <w:t>,</w:t>
      </w:r>
      <w:r w:rsidR="000236A9" w:rsidRPr="000236A9">
        <w:rPr>
          <w:rFonts w:ascii="David" w:hAnsi="David" w:cs="David"/>
          <w:sz w:val="24"/>
          <w:szCs w:val="24"/>
          <w:rtl/>
        </w:rPr>
        <w:t xml:space="preserve"> ודומה כאומר בניחותא</w:t>
      </w:r>
      <w:r w:rsidR="00C52E46">
        <w:rPr>
          <w:rFonts w:ascii="David" w:hAnsi="David" w:cs="David" w:hint="cs"/>
          <w:sz w:val="24"/>
          <w:szCs w:val="24"/>
          <w:rtl/>
        </w:rPr>
        <w:t>-</w:t>
      </w:r>
      <w:r w:rsidR="000236A9" w:rsidRPr="000236A9">
        <w:rPr>
          <w:rFonts w:ascii="David" w:hAnsi="David" w:cs="David"/>
          <w:sz w:val="24"/>
          <w:szCs w:val="24"/>
          <w:rtl/>
        </w:rPr>
        <w:t xml:space="preserve"> מסתמא בתמיה קאמר</w:t>
      </w:r>
      <w:r w:rsidR="000236A9" w:rsidRPr="000236A9">
        <w:rPr>
          <w:rStyle w:val="a5"/>
          <w:rFonts w:ascii="David" w:hAnsi="David" w:cs="David"/>
          <w:sz w:val="24"/>
          <w:szCs w:val="24"/>
          <w:rtl/>
        </w:rPr>
        <w:footnoteReference w:id="6"/>
      </w:r>
      <w:r w:rsidR="000236A9" w:rsidRPr="000236A9">
        <w:rPr>
          <w:rFonts w:ascii="David" w:hAnsi="David" w:cs="David"/>
          <w:sz w:val="24"/>
          <w:szCs w:val="24"/>
          <w:rtl/>
        </w:rPr>
        <w:t>".</w:t>
      </w:r>
      <w:r w:rsidR="000236A9">
        <w:rPr>
          <w:rFonts w:asciiTheme="majorBidi" w:hAnsiTheme="majorBidi" w:cs="Times New Roman" w:hint="cs"/>
          <w:sz w:val="24"/>
          <w:szCs w:val="24"/>
          <w:rtl/>
        </w:rPr>
        <w:t xml:space="preserve"> בעל ההשלמה מסכים עם בעלי התוספות, שבנזקי גוף מפרשים 'כן' בתמיה ולשלילה, אולם בעוד שלפי התוספות המצב בדיני ממונות הפוך, שמפרשים 'לא' כ'כן', הוא סבור שבנזקי ממון מפרשים את הנאמר כפשוטו.</w:t>
      </w:r>
      <w:r w:rsidR="00C9025C">
        <w:rPr>
          <w:rFonts w:asciiTheme="majorBidi" w:hAnsiTheme="majorBidi" w:cs="Times New Roman" w:hint="cs"/>
          <w:sz w:val="24"/>
          <w:szCs w:val="24"/>
          <w:rtl/>
        </w:rPr>
        <w:t xml:space="preserve"> שיטת הראב"ד</w:t>
      </w:r>
      <w:r w:rsidR="00C9025C">
        <w:rPr>
          <w:rStyle w:val="a5"/>
          <w:rFonts w:asciiTheme="majorBidi" w:hAnsiTheme="majorBidi" w:cs="Times New Roman"/>
          <w:sz w:val="24"/>
          <w:szCs w:val="24"/>
          <w:rtl/>
        </w:rPr>
        <w:footnoteReference w:id="7"/>
      </w:r>
      <w:r w:rsidR="00C9025C">
        <w:rPr>
          <w:rFonts w:asciiTheme="majorBidi" w:hAnsiTheme="majorBidi" w:cs="Times New Roman" w:hint="cs"/>
          <w:sz w:val="24"/>
          <w:szCs w:val="24"/>
          <w:rtl/>
        </w:rPr>
        <w:t xml:space="preserve"> היא שרבי יוחנן מודה לרבא שאדם אינו מוחל לעולם על ראשי איברים, ולשון המשתמעת לשתי פנים שייכת רק בפציעה ובממונות. </w:t>
      </w:r>
    </w:p>
    <w:p w14:paraId="27AC3248" w14:textId="31C39237" w:rsidR="000236A9" w:rsidRPr="00DC2809" w:rsidRDefault="00967181" w:rsidP="00DC2809">
      <w:pPr>
        <w:pStyle w:val="ab"/>
        <w:numPr>
          <w:ilvl w:val="0"/>
          <w:numId w:val="1"/>
        </w:numPr>
        <w:spacing w:after="0" w:line="360" w:lineRule="auto"/>
        <w:rPr>
          <w:rFonts w:asciiTheme="majorBidi" w:hAnsiTheme="majorBidi" w:cs="Times New Roman"/>
          <w:b/>
          <w:bCs/>
          <w:sz w:val="24"/>
          <w:szCs w:val="24"/>
          <w:rtl/>
        </w:rPr>
      </w:pPr>
      <w:r w:rsidRPr="00DC2809">
        <w:rPr>
          <w:rFonts w:asciiTheme="majorBidi" w:hAnsiTheme="majorBidi" w:cs="Times New Roman" w:hint="cs"/>
          <w:b/>
          <w:bCs/>
          <w:sz w:val="24"/>
          <w:szCs w:val="24"/>
          <w:rtl/>
        </w:rPr>
        <w:t>המסקנה בפציעה</w:t>
      </w:r>
    </w:p>
    <w:p w14:paraId="0ADF6CC9" w14:textId="43BDCC50" w:rsidR="00967181" w:rsidRPr="00967181" w:rsidRDefault="00967181" w:rsidP="00967181">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לפי רש"י, אם אין חילוק בין דיני ממונות לגופו כהבנת התוספות</w:t>
      </w:r>
      <w:r w:rsidR="00C52E46">
        <w:rPr>
          <w:rFonts w:asciiTheme="majorBidi" w:hAnsiTheme="majorBidi" w:cs="Times New Roman" w:hint="cs"/>
          <w:sz w:val="24"/>
          <w:szCs w:val="24"/>
          <w:rtl/>
        </w:rPr>
        <w:t xml:space="preserve"> בשיטתו</w:t>
      </w:r>
      <w:r>
        <w:rPr>
          <w:rFonts w:asciiTheme="majorBidi" w:hAnsiTheme="majorBidi" w:cs="Times New Roman" w:hint="cs"/>
          <w:sz w:val="24"/>
          <w:szCs w:val="24"/>
          <w:rtl/>
        </w:rPr>
        <w:t>, בוודאי אין להבדיל בי</w:t>
      </w:r>
      <w:r w:rsidR="00386D90">
        <w:rPr>
          <w:rFonts w:asciiTheme="majorBidi" w:hAnsiTheme="majorBidi" w:cs="Times New Roman" w:hint="cs"/>
          <w:sz w:val="24"/>
          <w:szCs w:val="24"/>
          <w:rtl/>
        </w:rPr>
        <w:t>ן</w:t>
      </w:r>
      <w:r>
        <w:rPr>
          <w:rFonts w:asciiTheme="majorBidi" w:hAnsiTheme="majorBidi" w:cs="Times New Roman" w:hint="cs"/>
          <w:sz w:val="24"/>
          <w:szCs w:val="24"/>
          <w:rtl/>
        </w:rPr>
        <w:t xml:space="preserve"> פציעה לבין ראשי איברים. אולם בהבנת דעת בעלי התוספות ישנה מחלוקת: </w:t>
      </w:r>
    </w:p>
    <w:p w14:paraId="3AEE1E2C" w14:textId="6353F1DA" w:rsidR="00967181" w:rsidRDefault="00967181" w:rsidP="00967181">
      <w:pPr>
        <w:spacing w:after="0" w:line="360" w:lineRule="auto"/>
        <w:rPr>
          <w:rFonts w:ascii="David" w:hAnsi="David" w:cs="David"/>
          <w:sz w:val="24"/>
          <w:szCs w:val="24"/>
          <w:rtl/>
        </w:rPr>
      </w:pPr>
      <w:r>
        <w:rPr>
          <w:rFonts w:ascii="David" w:hAnsi="David" w:cs="David" w:hint="cs"/>
          <w:sz w:val="24"/>
          <w:szCs w:val="24"/>
          <w:rtl/>
        </w:rPr>
        <w:t>"</w:t>
      </w:r>
      <w:r w:rsidRPr="00967181">
        <w:rPr>
          <w:rFonts w:ascii="David" w:hAnsi="David" w:cs="David"/>
          <w:sz w:val="24"/>
          <w:szCs w:val="24"/>
          <w:rtl/>
        </w:rPr>
        <w:t>אפילו בלא ראשי איברים נמי אמרינן דבתמיה קאמר וחייב, ולא נקט קטע ידי כו', אלא ללמדינו דאם אמר בפירוש ע"מ לפטור ד</w:t>
      </w:r>
      <w:r w:rsidRPr="00865B8F">
        <w:rPr>
          <w:rFonts w:ascii="David" w:hAnsi="David" w:cs="David"/>
          <w:b/>
          <w:bCs/>
          <w:sz w:val="24"/>
          <w:szCs w:val="24"/>
          <w:rtl/>
        </w:rPr>
        <w:t>פטור אפילו בהני</w:t>
      </w:r>
      <w:r w:rsidRPr="00967181">
        <w:rPr>
          <w:rFonts w:ascii="David" w:hAnsi="David" w:cs="David"/>
          <w:sz w:val="24"/>
          <w:szCs w:val="24"/>
          <w:rtl/>
        </w:rPr>
        <w:t>, ודוקא בהיזק ממון הוא דפטרינן ליה אף בלשון המתפרש דבתמיה קאמר.. ולא בצער דגופו, ודלא כעיר שושן</w:t>
      </w:r>
      <w:r w:rsidR="00C52E46">
        <w:rPr>
          <w:rFonts w:ascii="David" w:hAnsi="David" w:cs="David" w:hint="cs"/>
          <w:sz w:val="24"/>
          <w:szCs w:val="24"/>
          <w:rtl/>
        </w:rPr>
        <w:t>,</w:t>
      </w:r>
      <w:r w:rsidRPr="00967181">
        <w:rPr>
          <w:rFonts w:ascii="David" w:hAnsi="David" w:cs="David"/>
          <w:sz w:val="24"/>
          <w:szCs w:val="24"/>
          <w:rtl/>
        </w:rPr>
        <w:t xml:space="preserve"> דכתב דגם י"א הללו לא חייבוהו בסתם אלא בראשי איברים</w:t>
      </w:r>
      <w:r w:rsidRPr="00967181">
        <w:rPr>
          <w:rStyle w:val="a5"/>
          <w:rFonts w:ascii="David" w:hAnsi="David" w:cs="David"/>
          <w:sz w:val="24"/>
          <w:szCs w:val="24"/>
          <w:rtl/>
        </w:rPr>
        <w:footnoteReference w:id="8"/>
      </w:r>
      <w:r w:rsidRPr="00967181">
        <w:rPr>
          <w:rFonts w:ascii="David" w:hAnsi="David" w:cs="David"/>
          <w:sz w:val="24"/>
          <w:szCs w:val="24"/>
          <w:rtl/>
        </w:rPr>
        <w:t>, דזה אינו</w:t>
      </w:r>
      <w:r w:rsidRPr="00967181">
        <w:rPr>
          <w:rStyle w:val="a5"/>
          <w:rFonts w:ascii="David" w:hAnsi="David" w:cs="David"/>
          <w:sz w:val="24"/>
          <w:szCs w:val="24"/>
          <w:rtl/>
        </w:rPr>
        <w:footnoteReference w:id="9"/>
      </w:r>
      <w:r>
        <w:rPr>
          <w:rFonts w:ascii="David" w:hAnsi="David" w:cs="David" w:hint="cs"/>
          <w:sz w:val="24"/>
          <w:szCs w:val="24"/>
          <w:rtl/>
        </w:rPr>
        <w:t>".</w:t>
      </w:r>
    </w:p>
    <w:p w14:paraId="633C5D1E" w14:textId="5B831187" w:rsidR="00967181" w:rsidRDefault="00967181" w:rsidP="0096718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כל זה לפי רבי יוחנן,</w:t>
      </w:r>
      <w:r w:rsidR="00C52E46" w:rsidRPr="00C52E46">
        <w:rPr>
          <w:rFonts w:asciiTheme="majorBidi" w:hAnsiTheme="majorBidi" w:cstheme="majorBidi" w:hint="cs"/>
          <w:sz w:val="24"/>
          <w:szCs w:val="24"/>
          <w:rtl/>
        </w:rPr>
        <w:t xml:space="preserve"> </w:t>
      </w:r>
      <w:r w:rsidR="00C52E46">
        <w:rPr>
          <w:rFonts w:asciiTheme="majorBidi" w:hAnsiTheme="majorBidi" w:cstheme="majorBidi" w:hint="cs"/>
          <w:sz w:val="24"/>
          <w:szCs w:val="24"/>
          <w:rtl/>
        </w:rPr>
        <w:t>שהרי"ף</w:t>
      </w:r>
      <w:r w:rsidR="00C52E46">
        <w:rPr>
          <w:rStyle w:val="a5"/>
          <w:rFonts w:asciiTheme="majorBidi" w:hAnsiTheme="majorBidi" w:cstheme="majorBidi"/>
          <w:sz w:val="24"/>
          <w:szCs w:val="24"/>
          <w:rtl/>
        </w:rPr>
        <w:footnoteReference w:id="10"/>
      </w:r>
      <w:r w:rsidR="00C52E46">
        <w:rPr>
          <w:rFonts w:asciiTheme="majorBidi" w:hAnsiTheme="majorBidi" w:cstheme="majorBidi" w:hint="cs"/>
          <w:sz w:val="24"/>
          <w:szCs w:val="24"/>
          <w:rtl/>
        </w:rPr>
        <w:t xml:space="preserve"> הביא רק את דבריו</w:t>
      </w:r>
      <w:r w:rsidR="00C52E46">
        <w:rPr>
          <w:rStyle w:val="a5"/>
          <w:rFonts w:asciiTheme="majorBidi" w:hAnsiTheme="majorBidi" w:cstheme="majorBidi"/>
          <w:sz w:val="24"/>
          <w:szCs w:val="24"/>
          <w:rtl/>
        </w:rPr>
        <w:footnoteReference w:id="11"/>
      </w:r>
      <w:r w:rsidR="00C52E46">
        <w:rPr>
          <w:rFonts w:asciiTheme="majorBidi" w:hAnsiTheme="majorBidi" w:cstheme="majorBidi" w:hint="cs"/>
          <w:sz w:val="24"/>
          <w:szCs w:val="24"/>
          <w:rtl/>
        </w:rPr>
        <w:t>.</w:t>
      </w:r>
      <w:r>
        <w:rPr>
          <w:rFonts w:asciiTheme="majorBidi" w:hAnsiTheme="majorBidi" w:cstheme="majorBidi" w:hint="cs"/>
          <w:sz w:val="24"/>
          <w:szCs w:val="24"/>
          <w:rtl/>
        </w:rPr>
        <w:t xml:space="preserve"> אולם רבינו חננאל ואור זרוע</w:t>
      </w:r>
      <w:r w:rsidR="00C52E46">
        <w:rPr>
          <w:rStyle w:val="a5"/>
          <w:rFonts w:asciiTheme="majorBidi" w:hAnsiTheme="majorBidi" w:cstheme="majorBidi"/>
          <w:sz w:val="24"/>
          <w:szCs w:val="24"/>
          <w:rtl/>
        </w:rPr>
        <w:footnoteReference w:id="12"/>
      </w:r>
      <w:r>
        <w:rPr>
          <w:rFonts w:asciiTheme="majorBidi" w:hAnsiTheme="majorBidi" w:cstheme="majorBidi" w:hint="cs"/>
          <w:sz w:val="24"/>
          <w:szCs w:val="24"/>
          <w:rtl/>
        </w:rPr>
        <w:t xml:space="preserve"> פוסקים כרבא, ולפי זה פציעה זהה בדינה לנזק ממוני.  </w:t>
      </w:r>
    </w:p>
    <w:p w14:paraId="41DCC9ED" w14:textId="62B92CD0" w:rsidR="00386D90" w:rsidRPr="00DC2809" w:rsidRDefault="00386D90" w:rsidP="00DC2809">
      <w:pPr>
        <w:pStyle w:val="ab"/>
        <w:numPr>
          <w:ilvl w:val="0"/>
          <w:numId w:val="1"/>
        </w:numPr>
        <w:spacing w:after="0" w:line="360" w:lineRule="auto"/>
        <w:rPr>
          <w:rFonts w:asciiTheme="majorBidi" w:hAnsiTheme="majorBidi" w:cstheme="majorBidi"/>
          <w:b/>
          <w:bCs/>
          <w:sz w:val="24"/>
          <w:szCs w:val="24"/>
          <w:rtl/>
        </w:rPr>
      </w:pPr>
      <w:r w:rsidRPr="00DC2809">
        <w:rPr>
          <w:rFonts w:asciiTheme="majorBidi" w:hAnsiTheme="majorBidi" w:cstheme="majorBidi" w:hint="cs"/>
          <w:b/>
          <w:bCs/>
          <w:sz w:val="24"/>
          <w:szCs w:val="24"/>
          <w:rtl/>
        </w:rPr>
        <w:t>להלכה</w:t>
      </w:r>
    </w:p>
    <w:p w14:paraId="57AA6C37" w14:textId="4F95BAD3" w:rsidR="0030781D" w:rsidRPr="0030781D" w:rsidRDefault="0030781D" w:rsidP="0030781D">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פסק הרמב"ם: </w:t>
      </w:r>
      <w:r w:rsidRPr="0030781D">
        <w:rPr>
          <w:rFonts w:ascii="David" w:hAnsi="David" w:cs="David"/>
          <w:sz w:val="24"/>
          <w:szCs w:val="24"/>
          <w:rtl/>
        </w:rPr>
        <w:t>"</w:t>
      </w:r>
      <w:r w:rsidR="00386D90" w:rsidRPr="0030781D">
        <w:rPr>
          <w:rFonts w:ascii="David" w:hAnsi="David" w:cs="David"/>
          <w:sz w:val="24"/>
          <w:szCs w:val="24"/>
          <w:rtl/>
        </w:rPr>
        <w:t>יש הפרש בין נזקי גופו לנזקי ממונו, שהאומר לחבירו סמא עיני קטע את ידי על מנת שאתה פטור</w:t>
      </w:r>
      <w:r>
        <w:rPr>
          <w:rFonts w:ascii="David" w:hAnsi="David" w:cs="David" w:hint="cs"/>
          <w:sz w:val="24"/>
          <w:szCs w:val="24"/>
          <w:rtl/>
        </w:rPr>
        <w:t>-</w:t>
      </w:r>
      <w:r w:rsidR="00386D90" w:rsidRPr="0030781D">
        <w:rPr>
          <w:rFonts w:ascii="David" w:hAnsi="David" w:cs="David"/>
          <w:sz w:val="24"/>
          <w:szCs w:val="24"/>
          <w:rtl/>
        </w:rPr>
        <w:t xml:space="preserve"> הרי זה חייב בחמשה דברים שהדבר ידוע שאין אדם רוצה בכך. אבל האומר לחבירו</w:t>
      </w:r>
      <w:r>
        <w:rPr>
          <w:rFonts w:ascii="David" w:hAnsi="David" w:cs="David" w:hint="cs"/>
          <w:sz w:val="24"/>
          <w:szCs w:val="24"/>
          <w:rtl/>
        </w:rPr>
        <w:t xml:space="preserve">: </w:t>
      </w:r>
      <w:r w:rsidR="00386D90" w:rsidRPr="0030781D">
        <w:rPr>
          <w:rFonts w:ascii="David" w:hAnsi="David" w:cs="David"/>
          <w:sz w:val="24"/>
          <w:szCs w:val="24"/>
          <w:rtl/>
        </w:rPr>
        <w:t xml:space="preserve">קרע את כסותי שבר את כדי על מנת שאתה פטור הרי זה פטור, ואם לא אמר לו על מנת </w:t>
      </w:r>
      <w:r w:rsidR="00386D90" w:rsidRPr="0030781D">
        <w:rPr>
          <w:rFonts w:ascii="David" w:hAnsi="David" w:cs="David"/>
          <w:sz w:val="24"/>
          <w:szCs w:val="24"/>
          <w:rtl/>
        </w:rPr>
        <w:lastRenderedPageBreak/>
        <w:t>שאתה פטור הרי זה  חייב לשלם אף על פי שהרשהו להשחית</w:t>
      </w:r>
      <w:r w:rsidR="00386D90" w:rsidRPr="0030781D">
        <w:rPr>
          <w:rStyle w:val="a5"/>
          <w:rFonts w:ascii="David" w:hAnsi="David" w:cs="David"/>
          <w:sz w:val="24"/>
          <w:szCs w:val="24"/>
          <w:rtl/>
        </w:rPr>
        <w:footnoteReference w:id="13"/>
      </w:r>
      <w:r w:rsidRPr="0030781D">
        <w:rPr>
          <w:rFonts w:ascii="David" w:hAnsi="David" w:cs="David"/>
          <w:sz w:val="24"/>
          <w:szCs w:val="24"/>
          <w:rtl/>
        </w:rPr>
        <w:t>"</w:t>
      </w:r>
      <w:r w:rsidR="00386D90" w:rsidRPr="0030781D">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הרמב"ם השמיט את דין פוצע שלא פוגם בראשי איברים. הרלב"ח</w:t>
      </w:r>
      <w:r>
        <w:rPr>
          <w:rStyle w:val="a5"/>
          <w:rFonts w:asciiTheme="majorBidi" w:hAnsiTheme="majorBidi" w:cstheme="majorBidi"/>
          <w:sz w:val="24"/>
          <w:szCs w:val="24"/>
          <w:rtl/>
        </w:rPr>
        <w:footnoteReference w:id="14"/>
      </w:r>
      <w:r>
        <w:rPr>
          <w:rFonts w:asciiTheme="majorBidi" w:hAnsiTheme="majorBidi" w:cstheme="majorBidi" w:hint="cs"/>
          <w:sz w:val="24"/>
          <w:szCs w:val="24"/>
          <w:rtl/>
        </w:rPr>
        <w:t xml:space="preserve"> סבור שדעתו לפסוק כרבא. ראיה לכך מדברי הרמב"ם בפתיחת הפרק: </w:t>
      </w:r>
      <w:r>
        <w:rPr>
          <w:rFonts w:asciiTheme="majorBidi" w:hAnsiTheme="majorBidi" w:cs="Times New Roman" w:hint="cs"/>
          <w:sz w:val="24"/>
          <w:szCs w:val="24"/>
          <w:rtl/>
        </w:rPr>
        <w:t xml:space="preserve"> </w:t>
      </w:r>
    </w:p>
    <w:p w14:paraId="7FBAD340" w14:textId="4A8088E7" w:rsidR="00386D90" w:rsidRDefault="0030781D" w:rsidP="0030781D">
      <w:pPr>
        <w:spacing w:after="0" w:line="360" w:lineRule="auto"/>
        <w:rPr>
          <w:rFonts w:ascii="David" w:hAnsi="David" w:cs="David"/>
          <w:sz w:val="24"/>
          <w:szCs w:val="24"/>
          <w:rtl/>
        </w:rPr>
      </w:pPr>
      <w:r w:rsidRPr="0030781D">
        <w:rPr>
          <w:rFonts w:ascii="David" w:hAnsi="David" w:cs="David"/>
          <w:sz w:val="24"/>
          <w:szCs w:val="24"/>
          <w:rtl/>
        </w:rPr>
        <w:t xml:space="preserve">"אסור לאדם לחבול בין בעצמו בין בחבירו, ולא החובל בלבד אלא כל המכה אדם כשר מישראל בין קטן בין גדול בין איש בין אשה </w:t>
      </w:r>
      <w:r w:rsidRPr="0030781D">
        <w:rPr>
          <w:rFonts w:ascii="David" w:hAnsi="David" w:cs="David"/>
          <w:b/>
          <w:bCs/>
          <w:sz w:val="24"/>
          <w:szCs w:val="24"/>
          <w:rtl/>
        </w:rPr>
        <w:t>דרך נציון</w:t>
      </w:r>
      <w:r w:rsidRPr="0030781D">
        <w:rPr>
          <w:rFonts w:ascii="David" w:hAnsi="David" w:cs="David"/>
          <w:sz w:val="24"/>
          <w:szCs w:val="24"/>
          <w:rtl/>
        </w:rPr>
        <w:t xml:space="preserve"> הרי זה עובר בלא תעשה".</w:t>
      </w:r>
      <w:r>
        <w:rPr>
          <w:rFonts w:ascii="David" w:hAnsi="David" w:cs="David" w:hint="cs"/>
          <w:sz w:val="24"/>
          <w:szCs w:val="24"/>
          <w:rtl/>
        </w:rPr>
        <w:t xml:space="preserve"> "כאשר מכהו שלא בדרך זו, כגון שמכהו ברשות </w:t>
      </w:r>
      <w:r>
        <w:rPr>
          <w:rFonts w:ascii="David" w:hAnsi="David" w:cs="David"/>
          <w:sz w:val="24"/>
          <w:szCs w:val="24"/>
          <w:rtl/>
        </w:rPr>
        <w:t>–</w:t>
      </w:r>
      <w:r>
        <w:rPr>
          <w:rFonts w:ascii="David" w:hAnsi="David" w:cs="David" w:hint="cs"/>
          <w:sz w:val="24"/>
          <w:szCs w:val="24"/>
          <w:rtl/>
        </w:rPr>
        <w:t xml:space="preserve"> אינו עובר על שום איסור, אם כן בוודאי שאינו חייב בשום תשלום</w:t>
      </w:r>
      <w:r>
        <w:rPr>
          <w:rStyle w:val="a5"/>
          <w:rFonts w:ascii="David" w:hAnsi="David" w:cs="David"/>
          <w:sz w:val="24"/>
          <w:szCs w:val="24"/>
          <w:rtl/>
        </w:rPr>
        <w:footnoteReference w:id="15"/>
      </w:r>
      <w:r>
        <w:rPr>
          <w:rFonts w:ascii="David" w:hAnsi="David" w:cs="David" w:hint="cs"/>
          <w:sz w:val="24"/>
          <w:szCs w:val="24"/>
          <w:rtl/>
        </w:rPr>
        <w:t xml:space="preserve">". </w:t>
      </w:r>
    </w:p>
    <w:p w14:paraId="65AF4488" w14:textId="2D2159A7" w:rsidR="0030781D" w:rsidRPr="0030781D" w:rsidRDefault="0030781D" w:rsidP="0030781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אולם המגיד משנה</w:t>
      </w:r>
      <w:r w:rsidR="00C22006">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מציע שלרמב"ם ישנה הבנה שונה בדברי רבי יוחנן: </w:t>
      </w:r>
    </w:p>
    <w:p w14:paraId="71EDEF27" w14:textId="0EB1CB61" w:rsidR="0030781D" w:rsidRDefault="0030781D" w:rsidP="0030781D">
      <w:pPr>
        <w:spacing w:after="0" w:line="360" w:lineRule="auto"/>
        <w:rPr>
          <w:rFonts w:asciiTheme="majorBidi" w:hAnsiTheme="majorBidi" w:cstheme="majorBidi"/>
          <w:sz w:val="24"/>
          <w:szCs w:val="24"/>
          <w:rtl/>
        </w:rPr>
      </w:pPr>
      <w:r w:rsidRPr="0030781D">
        <w:rPr>
          <w:rFonts w:ascii="David" w:hAnsi="David" w:cs="David"/>
          <w:sz w:val="24"/>
          <w:szCs w:val="24"/>
          <w:rtl/>
        </w:rPr>
        <w:t>"אלא דר' יוחנן דינא באנפי נפשיה הוא</w:t>
      </w:r>
      <w:r w:rsidR="00C52E46">
        <w:rPr>
          <w:rFonts w:ascii="David" w:hAnsi="David" w:cs="David" w:hint="cs"/>
          <w:sz w:val="24"/>
          <w:szCs w:val="24"/>
          <w:rtl/>
        </w:rPr>
        <w:t xml:space="preserve">, </w:t>
      </w:r>
      <w:r w:rsidRPr="0030781D">
        <w:rPr>
          <w:rFonts w:ascii="David" w:hAnsi="David" w:cs="David"/>
          <w:sz w:val="24"/>
          <w:szCs w:val="24"/>
          <w:rtl/>
        </w:rPr>
        <w:t>ובהכני ופצעני הוא בדוקא אבל בראשי איברים אפילו אמר הן בניחותא חייב".</w:t>
      </w:r>
      <w:r>
        <w:rPr>
          <w:rFonts w:ascii="David" w:hAnsi="David" w:cs="David" w:hint="cs"/>
          <w:sz w:val="24"/>
          <w:szCs w:val="24"/>
          <w:rtl/>
        </w:rPr>
        <w:t xml:space="preserve"> </w:t>
      </w:r>
      <w:r>
        <w:rPr>
          <w:rFonts w:asciiTheme="majorBidi" w:hAnsiTheme="majorBidi" w:cstheme="majorBidi" w:hint="cs"/>
          <w:sz w:val="24"/>
          <w:szCs w:val="24"/>
          <w:rtl/>
        </w:rPr>
        <w:t>בשולחן ערוך הלך בעקבות הרמב"ם</w:t>
      </w:r>
      <w:r>
        <w:rPr>
          <w:rStyle w:val="a5"/>
          <w:rFonts w:asciiTheme="majorBidi" w:hAnsiTheme="majorBidi" w:cstheme="majorBidi"/>
          <w:sz w:val="24"/>
          <w:szCs w:val="24"/>
          <w:rtl/>
        </w:rPr>
        <w:footnoteReference w:id="16"/>
      </w:r>
      <w:r w:rsidR="00C22006">
        <w:rPr>
          <w:rFonts w:asciiTheme="majorBidi" w:hAnsiTheme="majorBidi" w:cstheme="majorBidi" w:hint="cs"/>
          <w:sz w:val="24"/>
          <w:szCs w:val="24"/>
          <w:rtl/>
        </w:rPr>
        <w:t>. הרמ"א</w:t>
      </w:r>
      <w:r w:rsidR="00C22006">
        <w:rPr>
          <w:rStyle w:val="a5"/>
          <w:rFonts w:asciiTheme="majorBidi" w:hAnsiTheme="majorBidi" w:cstheme="majorBidi"/>
          <w:sz w:val="24"/>
          <w:szCs w:val="24"/>
          <w:rtl/>
        </w:rPr>
        <w:footnoteReference w:id="17"/>
      </w:r>
      <w:r w:rsidR="00C22006">
        <w:rPr>
          <w:rFonts w:asciiTheme="majorBidi" w:hAnsiTheme="majorBidi" w:cstheme="majorBidi" w:hint="cs"/>
          <w:sz w:val="24"/>
          <w:szCs w:val="24"/>
          <w:rtl/>
        </w:rPr>
        <w:t xml:space="preserve"> פוסק בעקבות רבי יוחנן, שפטור ברור מועיל אפילו לפטור בראשי איברים, ורק בלשון משתמעת לשתי פנים דנים לחייב, כשיטת בעלי התוספות. בהתאם לכך מפרשים לשון פטור עמומה</w:t>
      </w:r>
      <w:r w:rsidR="00C52E46">
        <w:rPr>
          <w:rFonts w:asciiTheme="majorBidi" w:hAnsiTheme="majorBidi" w:cstheme="majorBidi" w:hint="cs"/>
          <w:sz w:val="24"/>
          <w:szCs w:val="24"/>
          <w:rtl/>
        </w:rPr>
        <w:t>,</w:t>
      </w:r>
      <w:r w:rsidR="00C22006">
        <w:rPr>
          <w:rFonts w:asciiTheme="majorBidi" w:hAnsiTheme="majorBidi" w:cstheme="majorBidi" w:hint="cs"/>
          <w:sz w:val="24"/>
          <w:szCs w:val="24"/>
          <w:rtl/>
        </w:rPr>
        <w:t xml:space="preserve"> לקולא בהיזק ממון</w:t>
      </w:r>
      <w:r w:rsidR="00C22006">
        <w:rPr>
          <w:rStyle w:val="a5"/>
          <w:rFonts w:asciiTheme="majorBidi" w:hAnsiTheme="majorBidi" w:cstheme="majorBidi"/>
          <w:sz w:val="24"/>
          <w:szCs w:val="24"/>
          <w:rtl/>
        </w:rPr>
        <w:footnoteReference w:id="18"/>
      </w:r>
      <w:r w:rsidR="00C22006">
        <w:rPr>
          <w:rFonts w:asciiTheme="majorBidi" w:hAnsiTheme="majorBidi" w:cstheme="majorBidi" w:hint="cs"/>
          <w:sz w:val="24"/>
          <w:szCs w:val="24"/>
          <w:rtl/>
        </w:rPr>
        <w:t>.</w:t>
      </w:r>
    </w:p>
    <w:p w14:paraId="4240794E" w14:textId="51CCA320" w:rsidR="00DC2809" w:rsidRPr="00DC2809" w:rsidRDefault="00DC2809" w:rsidP="00DC2809">
      <w:pPr>
        <w:pStyle w:val="ab"/>
        <w:numPr>
          <w:ilvl w:val="0"/>
          <w:numId w:val="1"/>
        </w:numPr>
        <w:spacing w:after="0" w:line="360" w:lineRule="auto"/>
        <w:rPr>
          <w:rFonts w:asciiTheme="majorBidi" w:hAnsiTheme="majorBidi" w:cs="Times New Roman"/>
          <w:b/>
          <w:bCs/>
          <w:sz w:val="24"/>
          <w:szCs w:val="24"/>
          <w:rtl/>
        </w:rPr>
      </w:pPr>
      <w:r w:rsidRPr="00DC2809">
        <w:rPr>
          <w:rFonts w:asciiTheme="majorBidi" w:hAnsiTheme="majorBidi" w:cs="Times New Roman" w:hint="cs"/>
          <w:b/>
          <w:bCs/>
          <w:sz w:val="24"/>
          <w:szCs w:val="24"/>
          <w:rtl/>
        </w:rPr>
        <w:t>מה נחוץ לפטור בנזק ממוני</w:t>
      </w:r>
    </w:p>
    <w:p w14:paraId="76F89619" w14:textId="0E1A6247" w:rsidR="00DC2809" w:rsidRPr="00DC2809" w:rsidRDefault="00DC2809" w:rsidP="00C52E46">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השולחן ערוך הוסיף שפטור תשלום בהיזק ממוני צריך מכל מקום אמירה כלשהי </w:t>
      </w:r>
      <w:r w:rsidR="00C52E46">
        <w:rPr>
          <w:rFonts w:asciiTheme="majorBidi" w:hAnsiTheme="majorBidi" w:cs="Times New Roman" w:hint="cs"/>
          <w:sz w:val="24"/>
          <w:szCs w:val="24"/>
          <w:rtl/>
        </w:rPr>
        <w:t xml:space="preserve">לפטור מתשלומים, </w:t>
      </w:r>
      <w:r>
        <w:rPr>
          <w:rFonts w:asciiTheme="majorBidi" w:hAnsiTheme="majorBidi" w:cs="Times New Roman" w:hint="cs"/>
          <w:sz w:val="24"/>
          <w:szCs w:val="24"/>
          <w:rtl/>
        </w:rPr>
        <w:t>מעבר ל'שבור':</w:t>
      </w:r>
      <w:r w:rsidRPr="00DC2809">
        <w:rPr>
          <w:rFonts w:ascii="David" w:hAnsi="David" w:cs="David" w:hint="cs"/>
          <w:sz w:val="24"/>
          <w:szCs w:val="24"/>
          <w:rtl/>
        </w:rPr>
        <w:t xml:space="preserve">"ואם לא אמר לו: 'על מנת שאתה פטור' </w:t>
      </w:r>
      <w:r w:rsidRPr="00DC2809">
        <w:rPr>
          <w:rFonts w:ascii="David" w:hAnsi="David" w:cs="David"/>
          <w:sz w:val="24"/>
          <w:szCs w:val="24"/>
          <w:rtl/>
        </w:rPr>
        <w:t>–</w:t>
      </w:r>
      <w:r w:rsidRPr="00DC2809">
        <w:rPr>
          <w:rFonts w:ascii="David" w:hAnsi="David" w:cs="David" w:hint="cs"/>
          <w:sz w:val="24"/>
          <w:szCs w:val="24"/>
          <w:rtl/>
        </w:rPr>
        <w:t xml:space="preserve"> חייב, אע"פ שהרשהו להשחית".</w:t>
      </w:r>
    </w:p>
    <w:p w14:paraId="2129329F" w14:textId="6346CDFE" w:rsidR="00DC2809" w:rsidRPr="00DC2809" w:rsidRDefault="00DC2809" w:rsidP="00DC2809">
      <w:pPr>
        <w:spacing w:after="0" w:line="360" w:lineRule="auto"/>
        <w:rPr>
          <w:rFonts w:ascii="David" w:hAnsi="David" w:cs="David"/>
          <w:sz w:val="24"/>
          <w:szCs w:val="24"/>
          <w:rtl/>
        </w:rPr>
      </w:pPr>
      <w:r w:rsidRPr="00DC2809">
        <w:rPr>
          <w:rFonts w:ascii="David" w:hAnsi="David" w:cs="David"/>
          <w:sz w:val="24"/>
          <w:szCs w:val="24"/>
          <w:rtl/>
        </w:rPr>
        <w:t xml:space="preserve">"דתלינן שדרך שחוק א"ל כן שיקרע וישלם. </w:t>
      </w:r>
      <w:r w:rsidRPr="00C52E46">
        <w:rPr>
          <w:rFonts w:ascii="David" w:hAnsi="David" w:cs="David"/>
          <w:b/>
          <w:bCs/>
          <w:sz w:val="24"/>
          <w:szCs w:val="24"/>
          <w:rtl/>
        </w:rPr>
        <w:t>בד"א</w:t>
      </w:r>
      <w:r w:rsidRPr="00DC2809">
        <w:rPr>
          <w:rFonts w:ascii="David" w:hAnsi="David" w:cs="David"/>
          <w:sz w:val="24"/>
          <w:szCs w:val="24"/>
          <w:rtl/>
        </w:rPr>
        <w:t xml:space="preserve"> </w:t>
      </w:r>
      <w:r w:rsidRPr="00DC2809">
        <w:rPr>
          <w:rFonts w:ascii="David" w:hAnsi="David" w:cs="David"/>
          <w:b/>
          <w:bCs/>
          <w:sz w:val="24"/>
          <w:szCs w:val="24"/>
          <w:rtl/>
        </w:rPr>
        <w:t>כשבאו הכלים לידו של זה בתורת שמירה</w:t>
      </w:r>
      <w:r w:rsidRPr="00DC2809">
        <w:rPr>
          <w:rFonts w:ascii="David" w:hAnsi="David" w:cs="David"/>
          <w:sz w:val="24"/>
          <w:szCs w:val="24"/>
          <w:rtl/>
        </w:rPr>
        <w:t xml:space="preserve">, כגון שהיו שאולים או מופקדים אצלו. אבל אם לא באו לידו בתורת שמירה וא"ל קח כלי זה ושברו בגד זה וקרעו ועשה כן ה"ז </w:t>
      </w:r>
      <w:r w:rsidRPr="00DC2809">
        <w:rPr>
          <w:rFonts w:ascii="David" w:hAnsi="David" w:cs="David"/>
          <w:b/>
          <w:bCs/>
          <w:sz w:val="24"/>
          <w:szCs w:val="24"/>
          <w:rtl/>
        </w:rPr>
        <w:t>פטור אף על פי שלא א"ל על מנת לפטור</w:t>
      </w:r>
      <w:r w:rsidRPr="00DC2809">
        <w:rPr>
          <w:rFonts w:ascii="David" w:hAnsi="David" w:cs="David"/>
          <w:sz w:val="24"/>
          <w:szCs w:val="24"/>
          <w:rtl/>
        </w:rPr>
        <w:t xml:space="preserve">. דלא תלינן שאמר בדרך שחוק, אלא בבא לידו בתורת שמירה ודרך לומר כן: 'אתה שומר החפץ ביכלתך לאבדו'. והכוונה הוא: לשלם כדין שומר. אבל </w:t>
      </w:r>
      <w:r w:rsidRPr="00C52E46">
        <w:rPr>
          <w:rFonts w:ascii="David" w:hAnsi="David" w:cs="David"/>
          <w:b/>
          <w:bCs/>
          <w:sz w:val="24"/>
          <w:szCs w:val="24"/>
          <w:rtl/>
        </w:rPr>
        <w:t>כשאינו שומר, למה נתלה שכוונתו היתה שישלם לו?</w:t>
      </w:r>
      <w:r w:rsidRPr="00C52E46">
        <w:rPr>
          <w:rStyle w:val="a5"/>
          <w:rFonts w:ascii="David" w:hAnsi="David" w:cs="David"/>
          <w:b/>
          <w:bCs/>
          <w:sz w:val="24"/>
          <w:szCs w:val="24"/>
          <w:rtl/>
        </w:rPr>
        <w:footnoteReference w:id="19"/>
      </w:r>
      <w:r w:rsidRPr="00C52E46">
        <w:rPr>
          <w:rFonts w:ascii="David" w:hAnsi="David" w:cs="David"/>
          <w:b/>
          <w:bCs/>
          <w:sz w:val="24"/>
          <w:szCs w:val="24"/>
          <w:rtl/>
        </w:rPr>
        <w:t>".</w:t>
      </w:r>
    </w:p>
    <w:p w14:paraId="4D4040FB" w14:textId="3E6D97B7" w:rsidR="00341C92" w:rsidRPr="00DC2809" w:rsidRDefault="00341C92" w:rsidP="00DC2809">
      <w:pPr>
        <w:pStyle w:val="ab"/>
        <w:numPr>
          <w:ilvl w:val="0"/>
          <w:numId w:val="1"/>
        </w:numPr>
        <w:spacing w:after="0" w:line="240" w:lineRule="auto"/>
        <w:rPr>
          <w:rFonts w:asciiTheme="majorBidi" w:hAnsiTheme="majorBidi" w:cstheme="majorBidi"/>
          <w:b/>
          <w:bCs/>
          <w:sz w:val="24"/>
          <w:szCs w:val="24"/>
          <w:rtl/>
        </w:rPr>
      </w:pPr>
      <w:r w:rsidRPr="00DC2809">
        <w:rPr>
          <w:rFonts w:asciiTheme="majorBidi" w:hAnsiTheme="majorBidi" w:cstheme="majorBidi" w:hint="cs"/>
          <w:b/>
          <w:bCs/>
          <w:sz w:val="24"/>
          <w:szCs w:val="24"/>
          <w:rtl/>
        </w:rPr>
        <w:t>סיכום</w:t>
      </w:r>
    </w:p>
    <w:p w14:paraId="092066BB" w14:textId="77777777" w:rsidR="00C9025C" w:rsidRDefault="00C9025C" w:rsidP="00C9025C">
      <w:pPr>
        <w:spacing w:after="0" w:line="240" w:lineRule="auto"/>
        <w:rPr>
          <w:rFonts w:asciiTheme="majorBidi" w:hAnsiTheme="majorBidi" w:cstheme="majorBidi"/>
          <w:b/>
          <w:bCs/>
          <w:sz w:val="24"/>
          <w:szCs w:val="24"/>
          <w:rtl/>
        </w:rPr>
      </w:pPr>
    </w:p>
    <w:tbl>
      <w:tblPr>
        <w:tblStyle w:val="aa"/>
        <w:bidiVisual/>
        <w:tblW w:w="0" w:type="auto"/>
        <w:tblLook w:val="04A0" w:firstRow="1" w:lastRow="0" w:firstColumn="1" w:lastColumn="0" w:noHBand="0" w:noVBand="1"/>
      </w:tblPr>
      <w:tblGrid>
        <w:gridCol w:w="2074"/>
        <w:gridCol w:w="2074"/>
        <w:gridCol w:w="1037"/>
        <w:gridCol w:w="1037"/>
        <w:gridCol w:w="2074"/>
      </w:tblGrid>
      <w:tr w:rsidR="00341C92" w14:paraId="12178456" w14:textId="77777777" w:rsidTr="00341C92">
        <w:tc>
          <w:tcPr>
            <w:tcW w:w="2074" w:type="dxa"/>
          </w:tcPr>
          <w:p w14:paraId="3DACF987" w14:textId="2D4D6622" w:rsidR="00341C92" w:rsidRPr="00341C92" w:rsidRDefault="00341C92" w:rsidP="00C9025C">
            <w:pPr>
              <w:rPr>
                <w:rFonts w:asciiTheme="majorBidi" w:hAnsiTheme="majorBidi" w:cstheme="majorBidi"/>
                <w:sz w:val="24"/>
                <w:szCs w:val="24"/>
                <w:rtl/>
              </w:rPr>
            </w:pPr>
            <w:r>
              <w:rPr>
                <w:rFonts w:asciiTheme="majorBidi" w:hAnsiTheme="majorBidi" w:cstheme="majorBidi" w:hint="cs"/>
                <w:sz w:val="24"/>
                <w:szCs w:val="24"/>
                <w:rtl/>
              </w:rPr>
              <w:t xml:space="preserve">אמירת </w:t>
            </w:r>
            <w:r w:rsidRPr="00341C92">
              <w:rPr>
                <w:rFonts w:asciiTheme="majorBidi" w:hAnsiTheme="majorBidi" w:cstheme="majorBidi" w:hint="cs"/>
                <w:sz w:val="24"/>
                <w:szCs w:val="24"/>
                <w:rtl/>
              </w:rPr>
              <w:t xml:space="preserve">פטור </w:t>
            </w:r>
            <w:r>
              <w:rPr>
                <w:rFonts w:asciiTheme="majorBidi" w:hAnsiTheme="majorBidi" w:cstheme="majorBidi" w:hint="cs"/>
                <w:sz w:val="24"/>
                <w:szCs w:val="24"/>
                <w:rtl/>
              </w:rPr>
              <w:t xml:space="preserve">תשלום </w:t>
            </w:r>
            <w:r w:rsidRPr="00341C92">
              <w:rPr>
                <w:rFonts w:asciiTheme="majorBidi" w:hAnsiTheme="majorBidi" w:cstheme="majorBidi" w:hint="cs"/>
                <w:sz w:val="24"/>
                <w:szCs w:val="24"/>
                <w:rtl/>
              </w:rPr>
              <w:t>ב</w:t>
            </w:r>
          </w:p>
        </w:tc>
        <w:tc>
          <w:tcPr>
            <w:tcW w:w="2074" w:type="dxa"/>
          </w:tcPr>
          <w:p w14:paraId="2FED9280" w14:textId="6DCEFB33" w:rsidR="00341C92" w:rsidRPr="00341C92" w:rsidRDefault="00341C92" w:rsidP="00C9025C">
            <w:pPr>
              <w:rPr>
                <w:rFonts w:asciiTheme="majorBidi" w:hAnsiTheme="majorBidi" w:cstheme="majorBidi"/>
                <w:sz w:val="24"/>
                <w:szCs w:val="24"/>
                <w:rtl/>
              </w:rPr>
            </w:pPr>
            <w:r w:rsidRPr="00341C92">
              <w:rPr>
                <w:rFonts w:asciiTheme="majorBidi" w:hAnsiTheme="majorBidi" w:cstheme="majorBidi" w:hint="cs"/>
                <w:sz w:val="24"/>
                <w:szCs w:val="24"/>
                <w:rtl/>
              </w:rPr>
              <w:t>ראשי איברים</w:t>
            </w:r>
          </w:p>
        </w:tc>
        <w:tc>
          <w:tcPr>
            <w:tcW w:w="2074" w:type="dxa"/>
            <w:gridSpan w:val="2"/>
          </w:tcPr>
          <w:p w14:paraId="481A05E7" w14:textId="4565F9B2" w:rsidR="00341C92" w:rsidRPr="00341C92" w:rsidRDefault="00341C92" w:rsidP="00C9025C">
            <w:pPr>
              <w:rPr>
                <w:rFonts w:asciiTheme="majorBidi" w:hAnsiTheme="majorBidi" w:cstheme="majorBidi"/>
                <w:sz w:val="24"/>
                <w:szCs w:val="24"/>
                <w:rtl/>
              </w:rPr>
            </w:pPr>
            <w:r w:rsidRPr="00341C92">
              <w:rPr>
                <w:rFonts w:asciiTheme="majorBidi" w:hAnsiTheme="majorBidi" w:cstheme="majorBidi" w:hint="cs"/>
                <w:sz w:val="24"/>
                <w:szCs w:val="24"/>
                <w:rtl/>
              </w:rPr>
              <w:t>פציעה</w:t>
            </w:r>
          </w:p>
        </w:tc>
        <w:tc>
          <w:tcPr>
            <w:tcW w:w="2074" w:type="dxa"/>
          </w:tcPr>
          <w:p w14:paraId="29613ABF" w14:textId="35EE9FF6" w:rsidR="00341C92" w:rsidRPr="00341C92" w:rsidRDefault="00341C92" w:rsidP="00C9025C">
            <w:pPr>
              <w:rPr>
                <w:rFonts w:asciiTheme="majorBidi" w:hAnsiTheme="majorBidi" w:cstheme="majorBidi"/>
                <w:sz w:val="24"/>
                <w:szCs w:val="24"/>
                <w:rtl/>
              </w:rPr>
            </w:pPr>
            <w:r w:rsidRPr="00341C92">
              <w:rPr>
                <w:rFonts w:asciiTheme="majorBidi" w:hAnsiTheme="majorBidi" w:cstheme="majorBidi" w:hint="cs"/>
                <w:sz w:val="24"/>
                <w:szCs w:val="24"/>
                <w:rtl/>
              </w:rPr>
              <w:t>ממון</w:t>
            </w:r>
          </w:p>
        </w:tc>
      </w:tr>
      <w:tr w:rsidR="00341C92" w:rsidRPr="00341C92" w14:paraId="3E12664F" w14:textId="77777777" w:rsidTr="00341C92">
        <w:tc>
          <w:tcPr>
            <w:tcW w:w="2074" w:type="dxa"/>
          </w:tcPr>
          <w:p w14:paraId="2B3C8DA4" w14:textId="77777777" w:rsidR="00341C92" w:rsidRPr="00341C92" w:rsidRDefault="00341C92" w:rsidP="00C9025C">
            <w:pPr>
              <w:rPr>
                <w:rFonts w:asciiTheme="majorBidi" w:hAnsiTheme="majorBidi" w:cstheme="majorBidi"/>
                <w:sz w:val="24"/>
                <w:szCs w:val="24"/>
                <w:rtl/>
              </w:rPr>
            </w:pPr>
          </w:p>
        </w:tc>
        <w:tc>
          <w:tcPr>
            <w:tcW w:w="2074" w:type="dxa"/>
          </w:tcPr>
          <w:p w14:paraId="4D12A179" w14:textId="0913B3B8" w:rsidR="00341C92" w:rsidRPr="00341C92" w:rsidRDefault="00341C92" w:rsidP="00C9025C">
            <w:pPr>
              <w:rPr>
                <w:rFonts w:asciiTheme="majorBidi" w:hAnsiTheme="majorBidi" w:cstheme="majorBidi"/>
                <w:sz w:val="24"/>
                <w:szCs w:val="24"/>
                <w:rtl/>
              </w:rPr>
            </w:pPr>
            <w:r w:rsidRPr="00341C92">
              <w:rPr>
                <w:rFonts w:asciiTheme="majorBidi" w:hAnsiTheme="majorBidi" w:cstheme="majorBidi" w:hint="cs"/>
                <w:sz w:val="24"/>
                <w:szCs w:val="24"/>
                <w:rtl/>
              </w:rPr>
              <w:t>המשנה מחייבת</w:t>
            </w:r>
          </w:p>
        </w:tc>
        <w:tc>
          <w:tcPr>
            <w:tcW w:w="2074" w:type="dxa"/>
            <w:gridSpan w:val="2"/>
          </w:tcPr>
          <w:p w14:paraId="5EC97114" w14:textId="68A76B99" w:rsidR="00341C92" w:rsidRPr="00341C92" w:rsidRDefault="00341C92" w:rsidP="00C9025C">
            <w:pPr>
              <w:rPr>
                <w:rFonts w:asciiTheme="majorBidi" w:hAnsiTheme="majorBidi" w:cstheme="majorBidi"/>
                <w:sz w:val="24"/>
                <w:szCs w:val="24"/>
                <w:rtl/>
              </w:rPr>
            </w:pPr>
            <w:r w:rsidRPr="00341C92">
              <w:rPr>
                <w:rFonts w:asciiTheme="majorBidi" w:hAnsiTheme="majorBidi" w:cstheme="majorBidi" w:hint="cs"/>
                <w:sz w:val="24"/>
                <w:szCs w:val="24"/>
                <w:rtl/>
              </w:rPr>
              <w:t>ברייתא פוטרת</w:t>
            </w:r>
          </w:p>
        </w:tc>
        <w:tc>
          <w:tcPr>
            <w:tcW w:w="2074" w:type="dxa"/>
          </w:tcPr>
          <w:p w14:paraId="7103E919" w14:textId="246B9DE9" w:rsidR="00341C92" w:rsidRPr="00341C92" w:rsidRDefault="00341C92" w:rsidP="00C9025C">
            <w:pPr>
              <w:rPr>
                <w:rFonts w:asciiTheme="majorBidi" w:hAnsiTheme="majorBidi" w:cstheme="majorBidi"/>
                <w:sz w:val="24"/>
                <w:szCs w:val="24"/>
                <w:rtl/>
              </w:rPr>
            </w:pPr>
            <w:r w:rsidRPr="00341C92">
              <w:rPr>
                <w:rFonts w:asciiTheme="majorBidi" w:hAnsiTheme="majorBidi" w:cstheme="majorBidi" w:hint="cs"/>
                <w:sz w:val="24"/>
                <w:szCs w:val="24"/>
                <w:rtl/>
              </w:rPr>
              <w:t>המשנה פוטרת</w:t>
            </w:r>
          </w:p>
        </w:tc>
      </w:tr>
      <w:tr w:rsidR="00341C92" w:rsidRPr="00341C92" w14:paraId="38B125CD" w14:textId="77777777" w:rsidTr="00341C92">
        <w:tc>
          <w:tcPr>
            <w:tcW w:w="2074" w:type="dxa"/>
          </w:tcPr>
          <w:p w14:paraId="62EBB2D9" w14:textId="4668BF0D" w:rsidR="00341C92" w:rsidRPr="00341C92" w:rsidRDefault="00341C92" w:rsidP="00C9025C">
            <w:pPr>
              <w:rPr>
                <w:rFonts w:asciiTheme="majorBidi" w:hAnsiTheme="majorBidi" w:cstheme="majorBidi"/>
                <w:sz w:val="24"/>
                <w:szCs w:val="24"/>
                <w:rtl/>
              </w:rPr>
            </w:pPr>
            <w:r w:rsidRPr="00341C92">
              <w:rPr>
                <w:rFonts w:asciiTheme="majorBidi" w:hAnsiTheme="majorBidi" w:cstheme="majorBidi" w:hint="cs"/>
                <w:sz w:val="24"/>
                <w:szCs w:val="24"/>
                <w:rtl/>
              </w:rPr>
              <w:t>רבא</w:t>
            </w:r>
            <w:r w:rsidRPr="00341C92">
              <w:rPr>
                <w:rStyle w:val="a5"/>
                <w:rFonts w:asciiTheme="majorBidi" w:hAnsiTheme="majorBidi" w:cstheme="majorBidi"/>
                <w:sz w:val="24"/>
                <w:szCs w:val="24"/>
                <w:rtl/>
              </w:rPr>
              <w:footnoteReference w:id="20"/>
            </w:r>
            <w:r w:rsidRPr="00341C92">
              <w:rPr>
                <w:rFonts w:asciiTheme="majorBidi" w:hAnsiTheme="majorBidi" w:cstheme="majorBidi" w:hint="cs"/>
                <w:sz w:val="24"/>
                <w:szCs w:val="24"/>
                <w:rtl/>
              </w:rPr>
              <w:t xml:space="preserve"> </w:t>
            </w:r>
          </w:p>
        </w:tc>
        <w:tc>
          <w:tcPr>
            <w:tcW w:w="2074" w:type="dxa"/>
          </w:tcPr>
          <w:p w14:paraId="073919FC" w14:textId="72D532FB" w:rsidR="00341C92" w:rsidRPr="00341C92" w:rsidRDefault="00341C92" w:rsidP="00C9025C">
            <w:pPr>
              <w:rPr>
                <w:rFonts w:asciiTheme="majorBidi" w:hAnsiTheme="majorBidi" w:cstheme="majorBidi"/>
                <w:sz w:val="24"/>
                <w:szCs w:val="24"/>
                <w:rtl/>
              </w:rPr>
            </w:pPr>
            <w:r w:rsidRPr="00341C92">
              <w:rPr>
                <w:rFonts w:asciiTheme="majorBidi" w:hAnsiTheme="majorBidi" w:cstheme="majorBidi" w:hint="cs"/>
                <w:sz w:val="24"/>
                <w:szCs w:val="24"/>
                <w:rtl/>
              </w:rPr>
              <w:t>לא מוחל</w:t>
            </w:r>
          </w:p>
        </w:tc>
        <w:tc>
          <w:tcPr>
            <w:tcW w:w="2074" w:type="dxa"/>
            <w:gridSpan w:val="2"/>
          </w:tcPr>
          <w:p w14:paraId="34A68248" w14:textId="7A5C7A0D" w:rsidR="00341C92" w:rsidRPr="00341C92" w:rsidRDefault="00341C92" w:rsidP="00C9025C">
            <w:pPr>
              <w:rPr>
                <w:rFonts w:asciiTheme="majorBidi" w:hAnsiTheme="majorBidi" w:cstheme="majorBidi"/>
                <w:sz w:val="24"/>
                <w:szCs w:val="24"/>
                <w:rtl/>
              </w:rPr>
            </w:pPr>
            <w:r w:rsidRPr="00341C92">
              <w:rPr>
                <w:rFonts w:asciiTheme="majorBidi" w:hAnsiTheme="majorBidi" w:cstheme="majorBidi" w:hint="cs"/>
                <w:sz w:val="24"/>
                <w:szCs w:val="24"/>
                <w:rtl/>
              </w:rPr>
              <w:t>מוחל</w:t>
            </w:r>
          </w:p>
        </w:tc>
        <w:tc>
          <w:tcPr>
            <w:tcW w:w="2074" w:type="dxa"/>
          </w:tcPr>
          <w:p w14:paraId="72E0E4A9" w14:textId="10A885A5" w:rsidR="00341C92" w:rsidRPr="00341C92" w:rsidRDefault="00341C92" w:rsidP="00C9025C">
            <w:pPr>
              <w:rPr>
                <w:rFonts w:asciiTheme="majorBidi" w:hAnsiTheme="majorBidi" w:cstheme="majorBidi"/>
                <w:sz w:val="24"/>
                <w:szCs w:val="24"/>
                <w:rtl/>
              </w:rPr>
            </w:pPr>
            <w:r w:rsidRPr="00341C92">
              <w:rPr>
                <w:rFonts w:asciiTheme="majorBidi" w:hAnsiTheme="majorBidi" w:cstheme="majorBidi" w:hint="cs"/>
                <w:sz w:val="24"/>
                <w:szCs w:val="24"/>
                <w:rtl/>
              </w:rPr>
              <w:t>מוחל</w:t>
            </w:r>
          </w:p>
        </w:tc>
      </w:tr>
      <w:tr w:rsidR="00341C92" w14:paraId="4F075F0B" w14:textId="77777777" w:rsidTr="00341C92">
        <w:tc>
          <w:tcPr>
            <w:tcW w:w="2074" w:type="dxa"/>
          </w:tcPr>
          <w:p w14:paraId="7F03ED6E" w14:textId="2FB9C18E" w:rsidR="00341C92" w:rsidRPr="00341C92" w:rsidRDefault="00341C92" w:rsidP="00C9025C">
            <w:pPr>
              <w:rPr>
                <w:rFonts w:asciiTheme="majorBidi" w:hAnsiTheme="majorBidi" w:cstheme="majorBidi"/>
                <w:sz w:val="24"/>
                <w:szCs w:val="24"/>
                <w:rtl/>
              </w:rPr>
            </w:pPr>
            <w:r w:rsidRPr="00341C92">
              <w:rPr>
                <w:rFonts w:asciiTheme="majorBidi" w:hAnsiTheme="majorBidi" w:cstheme="majorBidi" w:hint="cs"/>
                <w:sz w:val="24"/>
                <w:szCs w:val="24"/>
                <w:rtl/>
              </w:rPr>
              <w:t>רבי יוחנן</w:t>
            </w:r>
            <w:r>
              <w:rPr>
                <w:rFonts w:asciiTheme="majorBidi" w:hAnsiTheme="majorBidi" w:cstheme="majorBidi" w:hint="cs"/>
                <w:sz w:val="24"/>
                <w:szCs w:val="24"/>
                <w:rtl/>
              </w:rPr>
              <w:t xml:space="preserve"> לפי רש"י</w:t>
            </w:r>
          </w:p>
        </w:tc>
        <w:tc>
          <w:tcPr>
            <w:tcW w:w="2074" w:type="dxa"/>
          </w:tcPr>
          <w:p w14:paraId="11C11E5A" w14:textId="77777777" w:rsidR="00341C92" w:rsidRDefault="00C9025C" w:rsidP="00C9025C">
            <w:pPr>
              <w:rPr>
                <w:rFonts w:asciiTheme="majorBidi" w:hAnsiTheme="majorBidi" w:cstheme="majorBidi"/>
                <w:sz w:val="24"/>
                <w:szCs w:val="24"/>
                <w:rtl/>
              </w:rPr>
            </w:pPr>
            <w:r w:rsidRPr="00C9025C">
              <w:rPr>
                <w:rFonts w:asciiTheme="majorBidi" w:hAnsiTheme="majorBidi" w:cstheme="majorBidi" w:hint="cs"/>
                <w:sz w:val="24"/>
                <w:szCs w:val="24"/>
                <w:rtl/>
              </w:rPr>
              <w:t>אמר לו הן בתמיהה</w:t>
            </w:r>
            <w:r w:rsidRPr="00C9025C">
              <w:rPr>
                <w:rStyle w:val="a5"/>
                <w:rFonts w:asciiTheme="majorBidi" w:hAnsiTheme="majorBidi" w:cstheme="majorBidi"/>
                <w:sz w:val="24"/>
                <w:szCs w:val="24"/>
                <w:rtl/>
              </w:rPr>
              <w:footnoteReference w:id="21"/>
            </w:r>
          </w:p>
          <w:p w14:paraId="54B88B7F" w14:textId="0B8647A0" w:rsidR="00C9025C" w:rsidRPr="00C9025C" w:rsidRDefault="00C9025C" w:rsidP="00C9025C">
            <w:pPr>
              <w:rPr>
                <w:rFonts w:asciiTheme="majorBidi" w:hAnsiTheme="majorBidi" w:cstheme="majorBidi"/>
                <w:sz w:val="24"/>
                <w:szCs w:val="24"/>
                <w:rtl/>
              </w:rPr>
            </w:pPr>
            <w:r>
              <w:rPr>
                <w:rFonts w:asciiTheme="majorBidi" w:hAnsiTheme="majorBidi" w:cstheme="majorBidi" w:hint="cs"/>
                <w:sz w:val="24"/>
                <w:szCs w:val="24"/>
                <w:rtl/>
              </w:rPr>
              <w:t>וכן רגיל בגופו</w:t>
            </w:r>
          </w:p>
        </w:tc>
        <w:tc>
          <w:tcPr>
            <w:tcW w:w="2074" w:type="dxa"/>
            <w:gridSpan w:val="2"/>
          </w:tcPr>
          <w:p w14:paraId="46CC6EC3" w14:textId="182B2B7F" w:rsidR="00341C92" w:rsidRPr="00341C92" w:rsidRDefault="00341C92" w:rsidP="00C9025C">
            <w:pPr>
              <w:rPr>
                <w:rFonts w:asciiTheme="majorBidi" w:hAnsiTheme="majorBidi" w:cstheme="majorBidi"/>
                <w:sz w:val="24"/>
                <w:szCs w:val="24"/>
                <w:rtl/>
              </w:rPr>
            </w:pPr>
            <w:r w:rsidRPr="00341C92">
              <w:rPr>
                <w:rFonts w:ascii="David" w:hAnsi="David" w:cs="David"/>
                <w:sz w:val="24"/>
                <w:szCs w:val="24"/>
                <w:rtl/>
              </w:rPr>
              <w:t>"אדם מוחל על הכל"</w:t>
            </w:r>
            <w:r>
              <w:rPr>
                <w:rFonts w:asciiTheme="majorBidi" w:hAnsiTheme="majorBidi" w:cs="Times New Roman" w:hint="cs"/>
                <w:sz w:val="24"/>
                <w:szCs w:val="24"/>
                <w:rtl/>
              </w:rPr>
              <w:t xml:space="preserve"> בפטור מפורש</w:t>
            </w:r>
          </w:p>
        </w:tc>
        <w:tc>
          <w:tcPr>
            <w:tcW w:w="2074" w:type="dxa"/>
          </w:tcPr>
          <w:p w14:paraId="12A9CA5A" w14:textId="77777777" w:rsidR="00341C92" w:rsidRDefault="00C9025C" w:rsidP="00C9025C">
            <w:pPr>
              <w:rPr>
                <w:rFonts w:asciiTheme="majorBidi" w:hAnsiTheme="majorBidi" w:cstheme="majorBidi"/>
                <w:sz w:val="24"/>
                <w:szCs w:val="24"/>
                <w:rtl/>
              </w:rPr>
            </w:pPr>
            <w:r w:rsidRPr="00C9025C">
              <w:rPr>
                <w:rFonts w:asciiTheme="majorBidi" w:hAnsiTheme="majorBidi" w:cstheme="majorBidi" w:hint="cs"/>
                <w:sz w:val="24"/>
                <w:szCs w:val="24"/>
                <w:rtl/>
              </w:rPr>
              <w:t>אמר לו הן בניחותא</w:t>
            </w:r>
          </w:p>
          <w:p w14:paraId="2BC210B3" w14:textId="4F80DE9E" w:rsidR="00C9025C" w:rsidRPr="00C9025C" w:rsidRDefault="00C9025C" w:rsidP="00C9025C">
            <w:pPr>
              <w:rPr>
                <w:rFonts w:asciiTheme="majorBidi" w:hAnsiTheme="majorBidi" w:cstheme="majorBidi"/>
                <w:sz w:val="24"/>
                <w:szCs w:val="24"/>
                <w:rtl/>
              </w:rPr>
            </w:pPr>
            <w:r>
              <w:rPr>
                <w:rFonts w:asciiTheme="majorBidi" w:hAnsiTheme="majorBidi" w:cstheme="majorBidi" w:hint="cs"/>
                <w:sz w:val="24"/>
                <w:szCs w:val="24"/>
                <w:rtl/>
              </w:rPr>
              <w:t>וכן רגיל בממונו</w:t>
            </w:r>
          </w:p>
        </w:tc>
      </w:tr>
      <w:tr w:rsidR="00C9025C" w14:paraId="2DDE2ACE" w14:textId="77777777" w:rsidTr="00AE7171">
        <w:tc>
          <w:tcPr>
            <w:tcW w:w="2074" w:type="dxa"/>
          </w:tcPr>
          <w:p w14:paraId="7B2EF2A8" w14:textId="77777777" w:rsidR="00C9025C" w:rsidRDefault="00C9025C" w:rsidP="00C9025C">
            <w:pPr>
              <w:rPr>
                <w:rFonts w:asciiTheme="majorBidi" w:hAnsiTheme="majorBidi" w:cstheme="majorBidi"/>
                <w:sz w:val="24"/>
                <w:szCs w:val="24"/>
                <w:rtl/>
              </w:rPr>
            </w:pPr>
            <w:r w:rsidRPr="00341C92">
              <w:rPr>
                <w:rFonts w:asciiTheme="majorBidi" w:hAnsiTheme="majorBidi" w:cstheme="majorBidi" w:hint="cs"/>
                <w:sz w:val="24"/>
                <w:szCs w:val="24"/>
                <w:rtl/>
              </w:rPr>
              <w:t>רבי יוחנן</w:t>
            </w:r>
            <w:r>
              <w:rPr>
                <w:rFonts w:asciiTheme="majorBidi" w:hAnsiTheme="majorBidi" w:cstheme="majorBidi" w:hint="cs"/>
                <w:sz w:val="24"/>
                <w:szCs w:val="24"/>
                <w:rtl/>
              </w:rPr>
              <w:t xml:space="preserve"> לפי תוספות</w:t>
            </w:r>
          </w:p>
          <w:p w14:paraId="2180141E" w14:textId="460366CA" w:rsidR="00C9025C" w:rsidRPr="00341C92" w:rsidRDefault="00C9025C" w:rsidP="00C9025C">
            <w:pPr>
              <w:rPr>
                <w:rFonts w:asciiTheme="majorBidi" w:hAnsiTheme="majorBidi" w:cstheme="majorBidi"/>
                <w:sz w:val="24"/>
                <w:szCs w:val="24"/>
                <w:rtl/>
              </w:rPr>
            </w:pPr>
            <w:r>
              <w:rPr>
                <w:rFonts w:asciiTheme="majorBidi" w:hAnsiTheme="majorBidi" w:cstheme="majorBidi" w:hint="cs"/>
                <w:sz w:val="24"/>
                <w:szCs w:val="24"/>
                <w:rtl/>
              </w:rPr>
              <w:t>מדובר בלשון מסופקת</w:t>
            </w:r>
          </w:p>
        </w:tc>
        <w:tc>
          <w:tcPr>
            <w:tcW w:w="2074" w:type="dxa"/>
          </w:tcPr>
          <w:p w14:paraId="4990892F" w14:textId="0543FAA7" w:rsidR="00C9025C" w:rsidRPr="00C9025C" w:rsidRDefault="00C9025C" w:rsidP="00C9025C">
            <w:pPr>
              <w:rPr>
                <w:rFonts w:asciiTheme="majorBidi" w:hAnsiTheme="majorBidi" w:cstheme="majorBidi"/>
                <w:sz w:val="24"/>
                <w:szCs w:val="24"/>
                <w:rtl/>
              </w:rPr>
            </w:pPr>
            <w:r w:rsidRPr="00C9025C">
              <w:rPr>
                <w:rFonts w:asciiTheme="majorBidi" w:hAnsiTheme="majorBidi" w:cstheme="majorBidi" w:hint="cs"/>
                <w:sz w:val="24"/>
                <w:szCs w:val="24"/>
                <w:rtl/>
              </w:rPr>
              <w:t>מן הסתם כוונתו לא</w:t>
            </w:r>
          </w:p>
        </w:tc>
        <w:tc>
          <w:tcPr>
            <w:tcW w:w="1037" w:type="dxa"/>
          </w:tcPr>
          <w:p w14:paraId="70EA152A" w14:textId="57FC6079" w:rsidR="00C9025C" w:rsidRPr="00C9025C" w:rsidRDefault="00C9025C" w:rsidP="00C9025C">
            <w:pPr>
              <w:rPr>
                <w:rFonts w:asciiTheme="majorBidi" w:hAnsiTheme="majorBidi" w:cstheme="majorBidi"/>
                <w:sz w:val="24"/>
                <w:szCs w:val="24"/>
                <w:rtl/>
              </w:rPr>
            </w:pPr>
            <w:r>
              <w:rPr>
                <w:rFonts w:asciiTheme="majorBidi" w:hAnsiTheme="majorBidi" w:cstheme="majorBidi" w:hint="cs"/>
                <w:sz w:val="24"/>
                <w:szCs w:val="24"/>
                <w:rtl/>
              </w:rPr>
              <w:t>סמ"ע: סתם חייב</w:t>
            </w:r>
          </w:p>
        </w:tc>
        <w:tc>
          <w:tcPr>
            <w:tcW w:w="1037" w:type="dxa"/>
          </w:tcPr>
          <w:p w14:paraId="3C26744D" w14:textId="77777777" w:rsidR="00C9025C" w:rsidRDefault="00C9025C" w:rsidP="00C9025C">
            <w:pPr>
              <w:rPr>
                <w:rFonts w:asciiTheme="majorBidi" w:hAnsiTheme="majorBidi" w:cstheme="majorBidi"/>
                <w:sz w:val="24"/>
                <w:szCs w:val="24"/>
                <w:rtl/>
              </w:rPr>
            </w:pPr>
            <w:r>
              <w:rPr>
                <w:rFonts w:asciiTheme="majorBidi" w:hAnsiTheme="majorBidi" w:cstheme="majorBidi" w:hint="cs"/>
                <w:sz w:val="24"/>
                <w:szCs w:val="24"/>
                <w:rtl/>
              </w:rPr>
              <w:t xml:space="preserve">רא"ה: </w:t>
            </w:r>
          </w:p>
          <w:p w14:paraId="48EBA917" w14:textId="49E12D28" w:rsidR="00C9025C" w:rsidRPr="00C9025C" w:rsidRDefault="00C9025C" w:rsidP="00C9025C">
            <w:pPr>
              <w:rPr>
                <w:rFonts w:asciiTheme="majorBidi" w:hAnsiTheme="majorBidi" w:cstheme="majorBidi"/>
                <w:sz w:val="24"/>
                <w:szCs w:val="24"/>
                <w:rtl/>
              </w:rPr>
            </w:pPr>
            <w:r>
              <w:rPr>
                <w:rFonts w:asciiTheme="majorBidi" w:hAnsiTheme="majorBidi" w:cstheme="majorBidi" w:hint="cs"/>
                <w:sz w:val="24"/>
                <w:szCs w:val="24"/>
                <w:rtl/>
              </w:rPr>
              <w:t>סתם פטור</w:t>
            </w:r>
          </w:p>
        </w:tc>
        <w:tc>
          <w:tcPr>
            <w:tcW w:w="2074" w:type="dxa"/>
          </w:tcPr>
          <w:p w14:paraId="13C2A91B" w14:textId="2879A867" w:rsidR="00C9025C" w:rsidRPr="00C9025C" w:rsidRDefault="00C9025C" w:rsidP="00C9025C">
            <w:pPr>
              <w:rPr>
                <w:rFonts w:asciiTheme="majorBidi" w:hAnsiTheme="majorBidi" w:cstheme="majorBidi"/>
                <w:sz w:val="24"/>
                <w:szCs w:val="24"/>
                <w:rtl/>
              </w:rPr>
            </w:pPr>
            <w:r w:rsidRPr="00C9025C">
              <w:rPr>
                <w:rFonts w:asciiTheme="majorBidi" w:hAnsiTheme="majorBidi" w:cstheme="majorBidi" w:hint="cs"/>
                <w:sz w:val="24"/>
                <w:szCs w:val="24"/>
                <w:rtl/>
              </w:rPr>
              <w:t>מן הסתם כוונתו כן</w:t>
            </w:r>
            <w:r w:rsidR="009215AB">
              <w:rPr>
                <w:rStyle w:val="a5"/>
                <w:rFonts w:asciiTheme="majorBidi" w:hAnsiTheme="majorBidi" w:cstheme="majorBidi"/>
                <w:sz w:val="24"/>
                <w:szCs w:val="24"/>
                <w:rtl/>
              </w:rPr>
              <w:footnoteReference w:id="22"/>
            </w:r>
          </w:p>
        </w:tc>
      </w:tr>
    </w:tbl>
    <w:p w14:paraId="634D21FA" w14:textId="77777777" w:rsidR="00341C92" w:rsidRPr="00341C92" w:rsidRDefault="00341C92" w:rsidP="00C9025C">
      <w:pPr>
        <w:spacing w:after="0" w:line="240" w:lineRule="auto"/>
        <w:rPr>
          <w:rFonts w:asciiTheme="majorBidi" w:hAnsiTheme="majorBidi" w:cstheme="majorBidi"/>
          <w:b/>
          <w:bCs/>
          <w:sz w:val="24"/>
          <w:szCs w:val="24"/>
          <w:rtl/>
        </w:rPr>
      </w:pPr>
    </w:p>
    <w:p w14:paraId="4FB99E9F" w14:textId="77777777" w:rsidR="00341C92" w:rsidRDefault="00341C92" w:rsidP="0030781D">
      <w:pPr>
        <w:spacing w:after="0" w:line="360" w:lineRule="auto"/>
        <w:rPr>
          <w:rFonts w:asciiTheme="majorBidi" w:hAnsiTheme="majorBidi" w:cstheme="majorBidi"/>
          <w:sz w:val="24"/>
          <w:szCs w:val="24"/>
          <w:rtl/>
        </w:rPr>
      </w:pPr>
    </w:p>
    <w:sectPr w:rsidR="00341C92"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7648F" w14:textId="77777777" w:rsidR="00F97AAD" w:rsidRDefault="00F97AAD" w:rsidP="002637F8">
      <w:pPr>
        <w:spacing w:after="0" w:line="240" w:lineRule="auto"/>
      </w:pPr>
      <w:r>
        <w:separator/>
      </w:r>
    </w:p>
  </w:endnote>
  <w:endnote w:type="continuationSeparator" w:id="0">
    <w:p w14:paraId="3782239D" w14:textId="77777777" w:rsidR="00F97AAD" w:rsidRDefault="00F97AAD" w:rsidP="00263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6877" w14:textId="77777777" w:rsidR="00F97AAD" w:rsidRDefault="00F97AAD" w:rsidP="002637F8">
      <w:pPr>
        <w:spacing w:after="0" w:line="240" w:lineRule="auto"/>
      </w:pPr>
      <w:r>
        <w:separator/>
      </w:r>
    </w:p>
  </w:footnote>
  <w:footnote w:type="continuationSeparator" w:id="0">
    <w:p w14:paraId="08DEE476" w14:textId="77777777" w:rsidR="00F97AAD" w:rsidRDefault="00F97AAD" w:rsidP="002637F8">
      <w:pPr>
        <w:spacing w:after="0" w:line="240" w:lineRule="auto"/>
      </w:pPr>
      <w:r>
        <w:continuationSeparator/>
      </w:r>
    </w:p>
  </w:footnote>
  <w:footnote w:id="1">
    <w:p w14:paraId="470E4DEF" w14:textId="41C9225E" w:rsidR="002637F8" w:rsidRPr="00386D90" w:rsidRDefault="002637F8" w:rsidP="00386D90">
      <w:pPr>
        <w:pStyle w:val="a3"/>
        <w:spacing w:line="360" w:lineRule="auto"/>
        <w:rPr>
          <w:rFonts w:asciiTheme="majorBidi" w:hAnsiTheme="majorBidi" w:cstheme="majorBidi"/>
          <w:rtl/>
        </w:rPr>
      </w:pPr>
      <w:r w:rsidRPr="00386D90">
        <w:rPr>
          <w:rStyle w:val="a5"/>
          <w:rFonts w:asciiTheme="majorBidi" w:hAnsiTheme="majorBidi" w:cstheme="majorBidi"/>
        </w:rPr>
        <w:footnoteRef/>
      </w:r>
      <w:r w:rsidRPr="00386D90">
        <w:rPr>
          <w:rFonts w:asciiTheme="majorBidi" w:hAnsiTheme="majorBidi" w:cstheme="majorBidi"/>
          <w:rtl/>
        </w:rPr>
        <w:t xml:space="preserve"> ד"ה רבא וכן כתב הרשב"א ד"ה לפי. </w:t>
      </w:r>
    </w:p>
  </w:footnote>
  <w:footnote w:id="2">
    <w:p w14:paraId="3CA5DDF2" w14:textId="77777777" w:rsidR="00010341" w:rsidRPr="00386D90" w:rsidRDefault="00010341" w:rsidP="00386D90">
      <w:pPr>
        <w:pStyle w:val="a3"/>
        <w:spacing w:line="360" w:lineRule="auto"/>
        <w:rPr>
          <w:rFonts w:asciiTheme="majorBidi" w:hAnsiTheme="majorBidi" w:cstheme="majorBidi"/>
        </w:rPr>
      </w:pPr>
      <w:r w:rsidRPr="00386D90">
        <w:rPr>
          <w:rStyle w:val="a5"/>
          <w:rFonts w:asciiTheme="majorBidi" w:hAnsiTheme="majorBidi" w:cstheme="majorBidi"/>
        </w:rPr>
        <w:footnoteRef/>
      </w:r>
      <w:r w:rsidRPr="00386D90">
        <w:rPr>
          <w:rFonts w:asciiTheme="majorBidi" w:hAnsiTheme="majorBidi" w:cstheme="majorBidi"/>
          <w:rtl/>
        </w:rPr>
        <w:t xml:space="preserve"> רש"י ד"ה יש.</w:t>
      </w:r>
    </w:p>
  </w:footnote>
  <w:footnote w:id="3">
    <w:p w14:paraId="37ADD2E7" w14:textId="7ACC55FD" w:rsidR="00486477" w:rsidRPr="00386D90" w:rsidRDefault="00486477" w:rsidP="00386D90">
      <w:pPr>
        <w:pStyle w:val="a3"/>
        <w:spacing w:line="360" w:lineRule="auto"/>
        <w:rPr>
          <w:rFonts w:asciiTheme="majorBidi" w:hAnsiTheme="majorBidi" w:cstheme="majorBidi"/>
        </w:rPr>
      </w:pPr>
      <w:r w:rsidRPr="00386D90">
        <w:rPr>
          <w:rStyle w:val="a5"/>
          <w:rFonts w:asciiTheme="majorBidi" w:hAnsiTheme="majorBidi" w:cstheme="majorBidi"/>
        </w:rPr>
        <w:footnoteRef/>
      </w:r>
      <w:r w:rsidRPr="00386D90">
        <w:rPr>
          <w:rFonts w:asciiTheme="majorBidi" w:hAnsiTheme="majorBidi" w:cstheme="majorBidi"/>
          <w:rtl/>
        </w:rPr>
        <w:t xml:space="preserve"> תוספות  ד"ה ורבי יוחנן.</w:t>
      </w:r>
    </w:p>
  </w:footnote>
  <w:footnote w:id="4">
    <w:p w14:paraId="54F165D1" w14:textId="1DAC26C6" w:rsidR="00397FC5" w:rsidRPr="00386D90" w:rsidRDefault="00397FC5" w:rsidP="00386D90">
      <w:pPr>
        <w:pStyle w:val="a3"/>
        <w:spacing w:line="360" w:lineRule="auto"/>
        <w:rPr>
          <w:rFonts w:asciiTheme="majorBidi" w:hAnsiTheme="majorBidi" w:cstheme="majorBidi"/>
          <w:rtl/>
        </w:rPr>
      </w:pPr>
      <w:r w:rsidRPr="00386D90">
        <w:rPr>
          <w:rStyle w:val="a5"/>
          <w:rFonts w:asciiTheme="majorBidi" w:hAnsiTheme="majorBidi" w:cstheme="majorBidi"/>
        </w:rPr>
        <w:footnoteRef/>
      </w:r>
      <w:r w:rsidRPr="00386D90">
        <w:rPr>
          <w:rFonts w:asciiTheme="majorBidi" w:hAnsiTheme="majorBidi" w:cstheme="majorBidi"/>
          <w:rtl/>
        </w:rPr>
        <w:t xml:space="preserve"> רש"י ד"ה הכני.</w:t>
      </w:r>
    </w:p>
  </w:footnote>
  <w:footnote w:id="5">
    <w:p w14:paraId="209984F3" w14:textId="1D32C3D1" w:rsidR="00010341" w:rsidRPr="00386D90" w:rsidRDefault="00010341" w:rsidP="00386D90">
      <w:pPr>
        <w:spacing w:after="0" w:line="360" w:lineRule="auto"/>
        <w:rPr>
          <w:rFonts w:ascii="Times New Roman" w:hAnsi="Times New Roman" w:cs="Times New Roman"/>
          <w:sz w:val="20"/>
          <w:szCs w:val="20"/>
          <w:rtl/>
        </w:rPr>
      </w:pPr>
      <w:r w:rsidRPr="00386D90">
        <w:rPr>
          <w:rStyle w:val="a5"/>
          <w:sz w:val="20"/>
          <w:szCs w:val="20"/>
        </w:rPr>
        <w:footnoteRef/>
      </w:r>
      <w:r w:rsidRPr="00386D90">
        <w:rPr>
          <w:sz w:val="20"/>
          <w:szCs w:val="20"/>
          <w:rtl/>
        </w:rPr>
        <w:t xml:space="preserve"> </w:t>
      </w:r>
      <w:r w:rsidRPr="00386D90">
        <w:rPr>
          <w:rFonts w:ascii="Times New Roman" w:hAnsi="Times New Roman" w:cs="Times New Roman"/>
          <w:sz w:val="20"/>
          <w:szCs w:val="20"/>
          <w:rtl/>
        </w:rPr>
        <w:t xml:space="preserve">פני יהושע </w:t>
      </w:r>
      <w:r w:rsidRPr="00386D90">
        <w:rPr>
          <w:rFonts w:ascii="Times New Roman" w:hAnsi="Times New Roman" w:cs="Times New Roman" w:hint="cs"/>
          <w:sz w:val="20"/>
          <w:szCs w:val="20"/>
          <w:rtl/>
        </w:rPr>
        <w:t xml:space="preserve"> ד"ה יש לאו.</w:t>
      </w:r>
    </w:p>
  </w:footnote>
  <w:footnote w:id="6">
    <w:p w14:paraId="4C7075C0" w14:textId="58959EDD" w:rsidR="00386D90" w:rsidRPr="00386D90" w:rsidRDefault="000236A9" w:rsidP="00386D90">
      <w:pPr>
        <w:spacing w:after="0" w:line="240" w:lineRule="auto"/>
        <w:rPr>
          <w:rFonts w:asciiTheme="majorBidi" w:hAnsiTheme="majorBidi" w:cstheme="majorBidi"/>
          <w:sz w:val="20"/>
          <w:szCs w:val="20"/>
          <w:rtl/>
        </w:rPr>
      </w:pPr>
      <w:r w:rsidRPr="00386D90">
        <w:rPr>
          <w:rStyle w:val="a5"/>
          <w:sz w:val="20"/>
          <w:szCs w:val="20"/>
        </w:rPr>
        <w:footnoteRef/>
      </w:r>
      <w:r w:rsidRPr="00386D90">
        <w:rPr>
          <w:sz w:val="20"/>
          <w:szCs w:val="20"/>
          <w:rtl/>
        </w:rPr>
        <w:t xml:space="preserve"> </w:t>
      </w:r>
      <w:r w:rsidRPr="00386D90">
        <w:rPr>
          <w:rFonts w:asciiTheme="majorBidi" w:hAnsiTheme="majorBidi" w:cs="Times New Roman"/>
          <w:sz w:val="20"/>
          <w:szCs w:val="20"/>
          <w:rtl/>
        </w:rPr>
        <w:t xml:space="preserve">תוספות </w:t>
      </w:r>
      <w:r w:rsidRPr="00386D90">
        <w:rPr>
          <w:rFonts w:asciiTheme="majorBidi" w:hAnsiTheme="majorBidi" w:cs="Times New Roman" w:hint="cs"/>
          <w:sz w:val="20"/>
          <w:szCs w:val="20"/>
          <w:rtl/>
        </w:rPr>
        <w:t>ד"ה ורבי יוחנן</w:t>
      </w:r>
      <w:r w:rsidRPr="00386D90">
        <w:rPr>
          <w:rFonts w:asciiTheme="majorBidi" w:hAnsiTheme="majorBidi" w:cstheme="majorBidi" w:hint="cs"/>
          <w:sz w:val="20"/>
          <w:szCs w:val="20"/>
          <w:rtl/>
        </w:rPr>
        <w:t>.</w:t>
      </w:r>
      <w:r w:rsidR="00386D90" w:rsidRPr="00386D90">
        <w:rPr>
          <w:rFonts w:asciiTheme="majorBidi" w:hAnsiTheme="majorBidi" w:cstheme="majorBidi" w:hint="cs"/>
          <w:sz w:val="20"/>
          <w:szCs w:val="20"/>
          <w:rtl/>
        </w:rPr>
        <w:t xml:space="preserve"> כן גם דעת הרא"ש בסימן יח. אולם ניסוחו שונה במקצת: </w:t>
      </w:r>
      <w:r w:rsidR="00386D90" w:rsidRPr="00386D90">
        <w:rPr>
          <w:rFonts w:asciiTheme="majorBidi" w:hAnsiTheme="majorBidi" w:cs="Times New Roman" w:hint="cs"/>
          <w:sz w:val="20"/>
          <w:szCs w:val="20"/>
          <w:rtl/>
        </w:rPr>
        <w:t xml:space="preserve"> </w:t>
      </w:r>
    </w:p>
    <w:p w14:paraId="70E7998F" w14:textId="7392B50A" w:rsidR="00386D90" w:rsidRPr="00386D90" w:rsidRDefault="00386D90" w:rsidP="00386D90">
      <w:pPr>
        <w:spacing w:after="0" w:line="240" w:lineRule="auto"/>
        <w:rPr>
          <w:rFonts w:ascii="David" w:hAnsi="David" w:cs="David"/>
          <w:sz w:val="20"/>
          <w:szCs w:val="20"/>
          <w:rtl/>
        </w:rPr>
      </w:pPr>
      <w:r w:rsidRPr="00386D90">
        <w:rPr>
          <w:rFonts w:ascii="David" w:hAnsi="David" w:cs="David"/>
          <w:sz w:val="20"/>
          <w:szCs w:val="20"/>
          <w:rtl/>
        </w:rPr>
        <w:t xml:space="preserve"> "יש הן </w:t>
      </w:r>
      <w:r w:rsidRPr="00386D90">
        <w:rPr>
          <w:rFonts w:ascii="David" w:hAnsi="David" w:cs="David"/>
          <w:b/>
          <w:bCs/>
          <w:sz w:val="20"/>
          <w:szCs w:val="20"/>
          <w:rtl/>
        </w:rPr>
        <w:t>שדומה</w:t>
      </w:r>
      <w:r w:rsidRPr="00386D90">
        <w:rPr>
          <w:rFonts w:ascii="David" w:hAnsi="David" w:cs="David"/>
          <w:sz w:val="20"/>
          <w:szCs w:val="20"/>
          <w:rtl/>
        </w:rPr>
        <w:t xml:space="preserve"> בניחותא מסתמא בתמיה קאמר. בנזקי ממונו אם אמר לא ודומה קצת כדאמר בניחותא מסתמא בתמיה קאמר". </w:t>
      </w:r>
    </w:p>
    <w:p w14:paraId="38F1F1C3" w14:textId="640FE126" w:rsidR="000236A9" w:rsidRPr="00386D90" w:rsidRDefault="00386D90" w:rsidP="00386D90">
      <w:pPr>
        <w:spacing w:after="0" w:line="240" w:lineRule="auto"/>
        <w:rPr>
          <w:rFonts w:ascii="David" w:hAnsi="David" w:cs="David"/>
          <w:sz w:val="20"/>
          <w:szCs w:val="20"/>
          <w:rtl/>
        </w:rPr>
      </w:pPr>
      <w:r w:rsidRPr="00386D90">
        <w:rPr>
          <w:rFonts w:ascii="David" w:hAnsi="David" w:cs="David"/>
          <w:sz w:val="20"/>
          <w:szCs w:val="20"/>
          <w:rtl/>
        </w:rPr>
        <w:t xml:space="preserve">"נקט הכא </w:t>
      </w:r>
      <w:r w:rsidRPr="00C52E46">
        <w:rPr>
          <w:rFonts w:ascii="David" w:hAnsi="David" w:cs="David"/>
          <w:b/>
          <w:bCs/>
          <w:sz w:val="20"/>
          <w:szCs w:val="20"/>
          <w:rtl/>
        </w:rPr>
        <w:t>קצת</w:t>
      </w:r>
      <w:r w:rsidRPr="00386D90">
        <w:rPr>
          <w:rFonts w:ascii="David" w:hAnsi="David" w:cs="David"/>
          <w:sz w:val="20"/>
          <w:szCs w:val="20"/>
          <w:rtl/>
        </w:rPr>
        <w:t>, דאילו הוה דומה טובא כדאמר בניחותא- לא הוה אמרי' דמסתמא בתמיהה קאמר, אלא אה"נ דבניחותא אמר וחייב. וברישא בנזקי גופו לא נקט קצת, משום דאפי' כי דומה טובא בניחותא מסתמא בתמיהה קאמר וחייב. ובתרוייהו אנו דנין לחומרא. וטעמא רבה איכא</w:t>
      </w:r>
      <w:r w:rsidR="00C52E46">
        <w:rPr>
          <w:rFonts w:ascii="David" w:hAnsi="David" w:cs="David" w:hint="cs"/>
          <w:sz w:val="20"/>
          <w:szCs w:val="20"/>
          <w:rtl/>
        </w:rPr>
        <w:t>,</w:t>
      </w:r>
      <w:r w:rsidRPr="00386D90">
        <w:rPr>
          <w:rFonts w:ascii="David" w:hAnsi="David" w:cs="David"/>
          <w:sz w:val="20"/>
          <w:szCs w:val="20"/>
          <w:rtl/>
        </w:rPr>
        <w:t xml:space="preserve"> דבנזקי גופו פשיטא שיש לדון בהן דקאמר בתמיהה קאמר, אף על גב דדומה טובא לניחותא. ובנזקי ממונא נמי לא אמרי דלאו דקאמר לדונו בלשון בתמיהה אלא כשקצת דומה לניחותא אבל כשדומה טובא לניחותא</w:t>
      </w:r>
      <w:r w:rsidR="00C52E46">
        <w:rPr>
          <w:rFonts w:ascii="David" w:hAnsi="David" w:cs="David" w:hint="cs"/>
          <w:sz w:val="20"/>
          <w:szCs w:val="20"/>
          <w:rtl/>
        </w:rPr>
        <w:t>-</w:t>
      </w:r>
      <w:r w:rsidRPr="00386D90">
        <w:rPr>
          <w:rFonts w:ascii="David" w:hAnsi="David" w:cs="David"/>
          <w:sz w:val="20"/>
          <w:szCs w:val="20"/>
          <w:rtl/>
        </w:rPr>
        <w:t xml:space="preserve"> אנו דנין אותו לניחותא</w:t>
      </w:r>
      <w:r w:rsidR="00C52E46">
        <w:rPr>
          <w:rFonts w:ascii="David" w:hAnsi="David" w:cs="David" w:hint="cs"/>
          <w:sz w:val="20"/>
          <w:szCs w:val="20"/>
          <w:rtl/>
        </w:rPr>
        <w:t>.</w:t>
      </w:r>
      <w:r w:rsidRPr="00386D90">
        <w:rPr>
          <w:rFonts w:ascii="David" w:hAnsi="David" w:cs="David"/>
          <w:sz w:val="20"/>
          <w:szCs w:val="20"/>
          <w:rtl/>
        </w:rPr>
        <w:t xml:space="preserve"> דמסתמא אין אדם רוצה להשחית ממונו".</w:t>
      </w:r>
      <w:r w:rsidRPr="00386D90">
        <w:rPr>
          <w:rFonts w:asciiTheme="majorBidi" w:hAnsiTheme="majorBidi" w:cs="Times New Roman" w:hint="cs"/>
          <w:sz w:val="20"/>
          <w:szCs w:val="20"/>
          <w:rtl/>
        </w:rPr>
        <w:t>(</w:t>
      </w:r>
      <w:r w:rsidRPr="00386D90">
        <w:rPr>
          <w:rFonts w:asciiTheme="majorBidi" w:hAnsiTheme="majorBidi" w:cs="Times New Roman"/>
          <w:sz w:val="20"/>
          <w:szCs w:val="20"/>
          <w:rtl/>
        </w:rPr>
        <w:t xml:space="preserve">פלפולא חריפתא </w:t>
      </w:r>
      <w:r w:rsidRPr="00386D90">
        <w:rPr>
          <w:rFonts w:asciiTheme="majorBidi" w:hAnsiTheme="majorBidi" w:cs="Times New Roman" w:hint="cs"/>
          <w:sz w:val="20"/>
          <w:szCs w:val="20"/>
          <w:rtl/>
        </w:rPr>
        <w:t xml:space="preserve"> על הרא"ש </w:t>
      </w:r>
      <w:r w:rsidRPr="00386D90">
        <w:rPr>
          <w:rFonts w:asciiTheme="majorBidi" w:hAnsiTheme="majorBidi" w:cs="Times New Roman"/>
          <w:sz w:val="20"/>
          <w:szCs w:val="20"/>
          <w:rtl/>
        </w:rPr>
        <w:t xml:space="preserve"> אות </w:t>
      </w:r>
      <w:r w:rsidRPr="00386D90">
        <w:rPr>
          <w:rFonts w:asciiTheme="majorBidi" w:hAnsiTheme="majorBidi" w:cs="Times New Roman" w:hint="cs"/>
          <w:sz w:val="20"/>
          <w:szCs w:val="20"/>
          <w:rtl/>
        </w:rPr>
        <w:t xml:space="preserve"> </w:t>
      </w:r>
      <w:r w:rsidRPr="00386D90">
        <w:rPr>
          <w:rFonts w:asciiTheme="majorBidi" w:hAnsiTheme="majorBidi" w:cs="Times New Roman"/>
          <w:sz w:val="20"/>
          <w:szCs w:val="20"/>
          <w:rtl/>
        </w:rPr>
        <w:t>ס</w:t>
      </w:r>
      <w:r w:rsidRPr="00386D90">
        <w:rPr>
          <w:rFonts w:asciiTheme="majorBidi" w:hAnsiTheme="majorBidi" w:cstheme="majorBidi" w:hint="cs"/>
          <w:sz w:val="20"/>
          <w:szCs w:val="20"/>
          <w:rtl/>
        </w:rPr>
        <w:t>).</w:t>
      </w:r>
    </w:p>
    <w:p w14:paraId="1ED749E9" w14:textId="34D49231" w:rsidR="000236A9" w:rsidRDefault="000236A9">
      <w:pPr>
        <w:pStyle w:val="a3"/>
      </w:pPr>
    </w:p>
  </w:footnote>
  <w:footnote w:id="7">
    <w:p w14:paraId="19F89E1A" w14:textId="1E11F489" w:rsidR="00C9025C" w:rsidRPr="00C9025C" w:rsidRDefault="00C9025C" w:rsidP="00C9025C">
      <w:pPr>
        <w:pStyle w:val="a3"/>
        <w:spacing w:line="360" w:lineRule="auto"/>
        <w:rPr>
          <w:rFonts w:asciiTheme="majorBidi" w:hAnsiTheme="majorBidi" w:cstheme="majorBidi"/>
        </w:rPr>
      </w:pPr>
      <w:r w:rsidRPr="00C9025C">
        <w:rPr>
          <w:rStyle w:val="a5"/>
          <w:rFonts w:asciiTheme="majorBidi" w:hAnsiTheme="majorBidi" w:cstheme="majorBidi"/>
        </w:rPr>
        <w:footnoteRef/>
      </w:r>
      <w:r w:rsidRPr="00C9025C">
        <w:rPr>
          <w:rFonts w:asciiTheme="majorBidi" w:hAnsiTheme="majorBidi" w:cstheme="majorBidi"/>
          <w:rtl/>
        </w:rPr>
        <w:t xml:space="preserve"> מובאת ברשב"א.</w:t>
      </w:r>
    </w:p>
  </w:footnote>
  <w:footnote w:id="8">
    <w:p w14:paraId="6D72F343" w14:textId="10EC21D0" w:rsidR="00967181" w:rsidRPr="00386D90" w:rsidRDefault="00967181" w:rsidP="00C9025C">
      <w:pPr>
        <w:pStyle w:val="a3"/>
        <w:spacing w:line="360" w:lineRule="auto"/>
        <w:rPr>
          <w:rFonts w:asciiTheme="majorBidi" w:hAnsiTheme="majorBidi" w:cstheme="majorBidi"/>
        </w:rPr>
      </w:pPr>
      <w:r w:rsidRPr="00386D90">
        <w:rPr>
          <w:rStyle w:val="a5"/>
          <w:rFonts w:asciiTheme="majorBidi" w:hAnsiTheme="majorBidi" w:cstheme="majorBidi"/>
        </w:rPr>
        <w:footnoteRef/>
      </w:r>
      <w:r w:rsidRPr="00386D90">
        <w:rPr>
          <w:rFonts w:asciiTheme="majorBidi" w:hAnsiTheme="majorBidi" w:cstheme="majorBidi"/>
          <w:rtl/>
        </w:rPr>
        <w:t xml:space="preserve"> דעה זו מופיעה כבר בנימוקי יוסף בשם הרא"ה ובמאירי. </w:t>
      </w:r>
    </w:p>
  </w:footnote>
  <w:footnote w:id="9">
    <w:p w14:paraId="2A3D45B4" w14:textId="4DD9E015" w:rsidR="00967181" w:rsidRPr="00386D90" w:rsidRDefault="00967181" w:rsidP="00386D90">
      <w:pPr>
        <w:pStyle w:val="a3"/>
        <w:spacing w:line="360" w:lineRule="auto"/>
        <w:rPr>
          <w:rFonts w:asciiTheme="majorBidi" w:hAnsiTheme="majorBidi" w:cstheme="majorBidi"/>
          <w:rtl/>
        </w:rPr>
      </w:pPr>
      <w:r w:rsidRPr="00386D90">
        <w:rPr>
          <w:rStyle w:val="a5"/>
          <w:rFonts w:asciiTheme="majorBidi" w:hAnsiTheme="majorBidi" w:cstheme="majorBidi"/>
        </w:rPr>
        <w:footnoteRef/>
      </w:r>
      <w:r w:rsidRPr="00386D90">
        <w:rPr>
          <w:rFonts w:asciiTheme="majorBidi" w:hAnsiTheme="majorBidi" w:cstheme="majorBidi"/>
          <w:rtl/>
        </w:rPr>
        <w:t xml:space="preserve"> סמ"ע סימן תכא ס"ק כב.</w:t>
      </w:r>
    </w:p>
  </w:footnote>
  <w:footnote w:id="10">
    <w:p w14:paraId="2D50945D" w14:textId="77777777" w:rsidR="00C52E46" w:rsidRPr="00386D90" w:rsidRDefault="00C52E46" w:rsidP="00C52E46">
      <w:pPr>
        <w:pStyle w:val="a3"/>
        <w:spacing w:line="360" w:lineRule="auto"/>
        <w:rPr>
          <w:rFonts w:asciiTheme="majorBidi" w:hAnsiTheme="majorBidi" w:cstheme="majorBidi"/>
        </w:rPr>
      </w:pPr>
      <w:r w:rsidRPr="00386D90">
        <w:rPr>
          <w:rStyle w:val="a5"/>
          <w:rFonts w:asciiTheme="majorBidi" w:hAnsiTheme="majorBidi" w:cstheme="majorBidi"/>
        </w:rPr>
        <w:footnoteRef/>
      </w:r>
      <w:r w:rsidRPr="00386D90">
        <w:rPr>
          <w:rFonts w:asciiTheme="majorBidi" w:hAnsiTheme="majorBidi" w:cstheme="majorBidi"/>
          <w:rtl/>
        </w:rPr>
        <w:t xml:space="preserve"> דף לג עמוד א מדפי הרי"ף.</w:t>
      </w:r>
    </w:p>
  </w:footnote>
  <w:footnote w:id="11">
    <w:p w14:paraId="0758883C" w14:textId="77777777" w:rsidR="00C52E46" w:rsidRPr="00386D90" w:rsidRDefault="00C52E46" w:rsidP="00C52E46">
      <w:pPr>
        <w:pStyle w:val="a3"/>
        <w:spacing w:line="360" w:lineRule="auto"/>
        <w:rPr>
          <w:rFonts w:asciiTheme="majorBidi" w:hAnsiTheme="majorBidi" w:cstheme="majorBidi"/>
        </w:rPr>
      </w:pPr>
      <w:r w:rsidRPr="00386D90">
        <w:rPr>
          <w:rStyle w:val="a5"/>
          <w:rFonts w:asciiTheme="majorBidi" w:hAnsiTheme="majorBidi" w:cstheme="majorBidi"/>
        </w:rPr>
        <w:footnoteRef/>
      </w:r>
      <w:r w:rsidRPr="00386D90">
        <w:rPr>
          <w:rFonts w:asciiTheme="majorBidi" w:hAnsiTheme="majorBidi" w:cstheme="majorBidi"/>
          <w:rtl/>
        </w:rPr>
        <w:t xml:space="preserve"> ברשב"א הביא את הרי"ף מיד לאחר דברי רש"י, אולם בחוות יאיר </w:t>
      </w:r>
      <w:r w:rsidRPr="00C52E46">
        <w:rPr>
          <w:rFonts w:asciiTheme="majorBidi" w:hAnsiTheme="majorBidi" w:cstheme="majorBidi"/>
          <w:sz w:val="16"/>
          <w:szCs w:val="16"/>
          <w:rtl/>
        </w:rPr>
        <w:t>(הגהות לרי"ף אות א),</w:t>
      </w:r>
      <w:r w:rsidRPr="00386D90">
        <w:rPr>
          <w:rFonts w:asciiTheme="majorBidi" w:hAnsiTheme="majorBidi" w:cstheme="majorBidi"/>
          <w:rtl/>
        </w:rPr>
        <w:t xml:space="preserve"> הבין שדעתו כתוספות.</w:t>
      </w:r>
    </w:p>
  </w:footnote>
  <w:footnote w:id="12">
    <w:p w14:paraId="029204C8" w14:textId="1B40AF08" w:rsidR="00C52E46" w:rsidRPr="00C52E46" w:rsidRDefault="00C52E46" w:rsidP="00C52E46">
      <w:pPr>
        <w:pStyle w:val="a3"/>
        <w:spacing w:line="360" w:lineRule="auto"/>
        <w:rPr>
          <w:rFonts w:asciiTheme="majorBidi" w:hAnsiTheme="majorBidi" w:cstheme="majorBidi"/>
        </w:rPr>
      </w:pPr>
      <w:r w:rsidRPr="00C52E46">
        <w:rPr>
          <w:rStyle w:val="a5"/>
          <w:rFonts w:asciiTheme="majorBidi" w:hAnsiTheme="majorBidi" w:cstheme="majorBidi"/>
        </w:rPr>
        <w:footnoteRef/>
      </w:r>
      <w:r w:rsidRPr="00C52E46">
        <w:rPr>
          <w:rFonts w:asciiTheme="majorBidi" w:hAnsiTheme="majorBidi" w:cstheme="majorBidi"/>
          <w:rtl/>
        </w:rPr>
        <w:t xml:space="preserve"> ב"ק חלק ג סימן שעט.</w:t>
      </w:r>
    </w:p>
  </w:footnote>
  <w:footnote w:id="13">
    <w:p w14:paraId="38676B3C" w14:textId="4C2BA996" w:rsidR="00386D90" w:rsidRPr="0030781D" w:rsidRDefault="00386D90" w:rsidP="0030781D">
      <w:pPr>
        <w:spacing w:after="0" w:line="360" w:lineRule="auto"/>
        <w:rPr>
          <w:rFonts w:asciiTheme="majorBidi" w:hAnsiTheme="majorBidi" w:cstheme="majorBidi"/>
          <w:sz w:val="20"/>
          <w:szCs w:val="20"/>
        </w:rPr>
      </w:pPr>
      <w:r w:rsidRPr="00386D90">
        <w:rPr>
          <w:rStyle w:val="a5"/>
          <w:sz w:val="20"/>
          <w:szCs w:val="20"/>
        </w:rPr>
        <w:footnoteRef/>
      </w:r>
      <w:r w:rsidRPr="00386D90">
        <w:rPr>
          <w:sz w:val="20"/>
          <w:szCs w:val="20"/>
          <w:rtl/>
        </w:rPr>
        <w:t xml:space="preserve"> </w:t>
      </w:r>
      <w:r w:rsidRPr="00386D90">
        <w:rPr>
          <w:rFonts w:asciiTheme="majorBidi" w:hAnsiTheme="majorBidi" w:cs="Times New Roman"/>
          <w:sz w:val="20"/>
          <w:szCs w:val="20"/>
          <w:rtl/>
        </w:rPr>
        <w:t>רמב"ם הלכות חובל ומזיק פרק ה הלכה יא</w:t>
      </w:r>
      <w:r w:rsidRPr="00386D90">
        <w:rPr>
          <w:rFonts w:asciiTheme="majorBidi" w:hAnsiTheme="majorBidi" w:cstheme="majorBidi" w:hint="cs"/>
          <w:sz w:val="20"/>
          <w:szCs w:val="20"/>
          <w:rtl/>
        </w:rPr>
        <w:t>.</w:t>
      </w:r>
    </w:p>
  </w:footnote>
  <w:footnote w:id="14">
    <w:p w14:paraId="6956F7DA" w14:textId="1A01A535" w:rsidR="0030781D" w:rsidRPr="0030781D" w:rsidRDefault="0030781D" w:rsidP="009215AB">
      <w:pPr>
        <w:pStyle w:val="a3"/>
        <w:spacing w:line="360" w:lineRule="auto"/>
        <w:rPr>
          <w:rFonts w:asciiTheme="majorBidi" w:hAnsiTheme="majorBidi" w:cstheme="majorBidi"/>
        </w:rPr>
      </w:pPr>
      <w:r w:rsidRPr="0030781D">
        <w:rPr>
          <w:rStyle w:val="a5"/>
          <w:rFonts w:asciiTheme="majorBidi" w:hAnsiTheme="majorBidi" w:cstheme="majorBidi"/>
        </w:rPr>
        <w:footnoteRef/>
      </w:r>
      <w:r w:rsidRPr="0030781D">
        <w:rPr>
          <w:rFonts w:asciiTheme="majorBidi" w:hAnsiTheme="majorBidi" w:cstheme="majorBidi"/>
          <w:rtl/>
        </w:rPr>
        <w:t xml:space="preserve"> בקונטרס הסמיכה, מובא בבירור הלכה דף צב עמוד א ציון ד אות ג.</w:t>
      </w:r>
    </w:p>
  </w:footnote>
  <w:footnote w:id="15">
    <w:p w14:paraId="4010D292" w14:textId="4B1E631C" w:rsidR="0030781D" w:rsidRPr="0030781D" w:rsidRDefault="0030781D" w:rsidP="009215AB">
      <w:pPr>
        <w:pStyle w:val="a3"/>
        <w:spacing w:line="360" w:lineRule="auto"/>
        <w:rPr>
          <w:rFonts w:asciiTheme="majorBidi" w:hAnsiTheme="majorBidi" w:cstheme="majorBidi"/>
          <w:rtl/>
        </w:rPr>
      </w:pPr>
      <w:r w:rsidRPr="0030781D">
        <w:rPr>
          <w:rStyle w:val="a5"/>
          <w:rFonts w:asciiTheme="majorBidi" w:hAnsiTheme="majorBidi" w:cstheme="majorBidi"/>
        </w:rPr>
        <w:footnoteRef/>
      </w:r>
      <w:r w:rsidRPr="0030781D">
        <w:rPr>
          <w:rFonts w:asciiTheme="majorBidi" w:hAnsiTheme="majorBidi" w:cstheme="majorBidi"/>
          <w:rtl/>
        </w:rPr>
        <w:t xml:space="preserve"> בירור הלכה שם. </w:t>
      </w:r>
    </w:p>
  </w:footnote>
  <w:footnote w:id="16">
    <w:p w14:paraId="5C410D33" w14:textId="11D4F92A" w:rsidR="0030781D" w:rsidRPr="0030781D" w:rsidRDefault="0030781D" w:rsidP="0030781D">
      <w:pPr>
        <w:pStyle w:val="a3"/>
        <w:spacing w:line="360" w:lineRule="auto"/>
        <w:rPr>
          <w:rFonts w:asciiTheme="majorBidi" w:hAnsiTheme="majorBidi" w:cstheme="majorBidi"/>
        </w:rPr>
      </w:pPr>
      <w:r w:rsidRPr="0030781D">
        <w:rPr>
          <w:rStyle w:val="a5"/>
          <w:rFonts w:asciiTheme="majorBidi" w:hAnsiTheme="majorBidi" w:cstheme="majorBidi"/>
        </w:rPr>
        <w:footnoteRef/>
      </w:r>
      <w:r w:rsidRPr="0030781D">
        <w:rPr>
          <w:rFonts w:asciiTheme="majorBidi" w:hAnsiTheme="majorBidi" w:cstheme="majorBidi"/>
          <w:rtl/>
        </w:rPr>
        <w:t xml:space="preserve"> חושן משפט סימן שפ סעיף א לגבי ממונות, </w:t>
      </w:r>
      <w:r w:rsidR="00DC2809">
        <w:rPr>
          <w:rFonts w:asciiTheme="majorBidi" w:hAnsiTheme="majorBidi" w:cstheme="majorBidi" w:hint="cs"/>
          <w:rtl/>
        </w:rPr>
        <w:t xml:space="preserve"> </w:t>
      </w:r>
      <w:r w:rsidRPr="0030781D">
        <w:rPr>
          <w:rFonts w:asciiTheme="majorBidi" w:hAnsiTheme="majorBidi" w:cstheme="majorBidi"/>
          <w:rtl/>
        </w:rPr>
        <w:t>ו</w:t>
      </w:r>
      <w:r>
        <w:rPr>
          <w:rFonts w:asciiTheme="majorBidi" w:hAnsiTheme="majorBidi" w:cstheme="majorBidi" w:hint="cs"/>
          <w:rtl/>
        </w:rPr>
        <w:t xml:space="preserve">סימן </w:t>
      </w:r>
      <w:r w:rsidRPr="0030781D">
        <w:rPr>
          <w:rFonts w:asciiTheme="majorBidi" w:hAnsiTheme="majorBidi" w:cstheme="majorBidi"/>
          <w:rtl/>
        </w:rPr>
        <w:t>תכא סעיף יב לגבי ראשי איברים.</w:t>
      </w:r>
    </w:p>
  </w:footnote>
  <w:footnote w:id="17">
    <w:p w14:paraId="08C7D347" w14:textId="0645AB75" w:rsidR="00C22006" w:rsidRPr="00C22006" w:rsidRDefault="00C22006" w:rsidP="00C22006">
      <w:pPr>
        <w:pStyle w:val="a3"/>
        <w:spacing w:line="360" w:lineRule="auto"/>
        <w:rPr>
          <w:rFonts w:asciiTheme="majorBidi" w:hAnsiTheme="majorBidi" w:cstheme="majorBidi"/>
        </w:rPr>
      </w:pPr>
      <w:r w:rsidRPr="00C22006">
        <w:rPr>
          <w:rStyle w:val="a5"/>
          <w:rFonts w:asciiTheme="majorBidi" w:hAnsiTheme="majorBidi" w:cstheme="majorBidi"/>
        </w:rPr>
        <w:footnoteRef/>
      </w:r>
      <w:r w:rsidRPr="00C22006">
        <w:rPr>
          <w:rFonts w:asciiTheme="majorBidi" w:hAnsiTheme="majorBidi" w:cstheme="majorBidi"/>
          <w:rtl/>
        </w:rPr>
        <w:t xml:space="preserve"> בסימן תכא.</w:t>
      </w:r>
    </w:p>
  </w:footnote>
  <w:footnote w:id="18">
    <w:p w14:paraId="7F5AFC45" w14:textId="3A4DA84B" w:rsidR="00C22006" w:rsidRPr="00C22006" w:rsidRDefault="00C22006" w:rsidP="00C22006">
      <w:pPr>
        <w:pStyle w:val="a3"/>
        <w:spacing w:line="360" w:lineRule="auto"/>
        <w:rPr>
          <w:rFonts w:asciiTheme="majorBidi" w:hAnsiTheme="majorBidi" w:cstheme="majorBidi"/>
        </w:rPr>
      </w:pPr>
      <w:r w:rsidRPr="00C22006">
        <w:rPr>
          <w:rStyle w:val="a5"/>
          <w:rFonts w:asciiTheme="majorBidi" w:hAnsiTheme="majorBidi" w:cstheme="majorBidi"/>
        </w:rPr>
        <w:footnoteRef/>
      </w:r>
      <w:r w:rsidRPr="00C22006">
        <w:rPr>
          <w:rFonts w:asciiTheme="majorBidi" w:hAnsiTheme="majorBidi" w:cstheme="majorBidi"/>
          <w:rtl/>
        </w:rPr>
        <w:t xml:space="preserve"> סימן שפ.</w:t>
      </w:r>
    </w:p>
  </w:footnote>
  <w:footnote w:id="19">
    <w:p w14:paraId="2D2870CF" w14:textId="59E7E7C4" w:rsidR="00DC2809" w:rsidRPr="00DC2809" w:rsidRDefault="00DC2809" w:rsidP="00DC2809">
      <w:pPr>
        <w:spacing w:after="0" w:line="360" w:lineRule="auto"/>
        <w:rPr>
          <w:rFonts w:asciiTheme="majorBidi" w:hAnsiTheme="majorBidi" w:cstheme="majorBidi"/>
          <w:sz w:val="20"/>
          <w:szCs w:val="20"/>
          <w:rtl/>
        </w:rPr>
      </w:pPr>
      <w:r>
        <w:rPr>
          <w:rStyle w:val="a5"/>
        </w:rPr>
        <w:footnoteRef/>
      </w:r>
      <w:r>
        <w:rPr>
          <w:rtl/>
        </w:rPr>
        <w:t xml:space="preserve"> </w:t>
      </w:r>
      <w:r w:rsidRPr="00DC2809">
        <w:rPr>
          <w:rFonts w:asciiTheme="majorBidi" w:hAnsiTheme="majorBidi" w:cs="Times New Roman"/>
          <w:sz w:val="20"/>
          <w:szCs w:val="20"/>
          <w:rtl/>
        </w:rPr>
        <w:t>ערוך השולחן חושן משפט סימן שפ</w:t>
      </w:r>
      <w:r w:rsidRPr="00DC2809">
        <w:rPr>
          <w:rFonts w:asciiTheme="majorBidi" w:hAnsiTheme="majorBidi" w:cstheme="majorBidi" w:hint="cs"/>
          <w:sz w:val="20"/>
          <w:szCs w:val="20"/>
          <w:rtl/>
        </w:rPr>
        <w:t xml:space="preserve"> סעיף א</w:t>
      </w:r>
      <w:r>
        <w:rPr>
          <w:rFonts w:asciiTheme="majorBidi" w:hAnsiTheme="majorBidi" w:cstheme="majorBidi" w:hint="cs"/>
          <w:sz w:val="20"/>
          <w:szCs w:val="20"/>
          <w:rtl/>
        </w:rPr>
        <w:t>.</w:t>
      </w:r>
    </w:p>
  </w:footnote>
  <w:footnote w:id="20">
    <w:p w14:paraId="3B762FB6" w14:textId="118D4B5F" w:rsidR="00341C92" w:rsidRPr="00C9025C" w:rsidRDefault="00341C92" w:rsidP="00C9025C">
      <w:pPr>
        <w:pStyle w:val="a3"/>
        <w:spacing w:line="360" w:lineRule="auto"/>
        <w:rPr>
          <w:rFonts w:asciiTheme="majorBidi" w:hAnsiTheme="majorBidi" w:cstheme="majorBidi"/>
          <w:rtl/>
        </w:rPr>
      </w:pPr>
      <w:r w:rsidRPr="00C9025C">
        <w:rPr>
          <w:rStyle w:val="a5"/>
          <w:rFonts w:asciiTheme="majorBidi" w:hAnsiTheme="majorBidi" w:cstheme="majorBidi"/>
        </w:rPr>
        <w:footnoteRef/>
      </w:r>
      <w:r w:rsidRPr="00C9025C">
        <w:rPr>
          <w:rFonts w:asciiTheme="majorBidi" w:hAnsiTheme="majorBidi" w:cstheme="majorBidi"/>
          <w:rtl/>
        </w:rPr>
        <w:t xml:space="preserve"> ולהלכה ר"ח, פשט הרמב"ם ושו"ע.</w:t>
      </w:r>
    </w:p>
  </w:footnote>
  <w:footnote w:id="21">
    <w:p w14:paraId="4394C55B" w14:textId="238BC096" w:rsidR="00C9025C" w:rsidRPr="00C9025C" w:rsidRDefault="00C9025C" w:rsidP="00C9025C">
      <w:pPr>
        <w:pStyle w:val="a3"/>
        <w:spacing w:line="360" w:lineRule="auto"/>
        <w:rPr>
          <w:rFonts w:asciiTheme="majorBidi" w:hAnsiTheme="majorBidi" w:cstheme="majorBidi"/>
        </w:rPr>
      </w:pPr>
      <w:r w:rsidRPr="00C9025C">
        <w:rPr>
          <w:rStyle w:val="a5"/>
          <w:rFonts w:asciiTheme="majorBidi" w:hAnsiTheme="majorBidi" w:cstheme="majorBidi"/>
        </w:rPr>
        <w:footnoteRef/>
      </w:r>
      <w:r w:rsidRPr="00C9025C">
        <w:rPr>
          <w:rFonts w:asciiTheme="majorBidi" w:hAnsiTheme="majorBidi" w:cstheme="majorBidi"/>
          <w:rtl/>
        </w:rPr>
        <w:t xml:space="preserve"> ולפי הראב"ד: </w:t>
      </w:r>
      <w:r>
        <w:rPr>
          <w:rFonts w:asciiTheme="majorBidi" w:hAnsiTheme="majorBidi" w:cstheme="majorBidi" w:hint="cs"/>
          <w:rtl/>
        </w:rPr>
        <w:t>אפילו פטרו במפורש</w:t>
      </w:r>
      <w:r w:rsidRPr="00C9025C">
        <w:rPr>
          <w:rFonts w:asciiTheme="majorBidi" w:hAnsiTheme="majorBidi" w:cstheme="majorBidi"/>
          <w:rtl/>
        </w:rPr>
        <w:t>.</w:t>
      </w:r>
    </w:p>
  </w:footnote>
  <w:footnote w:id="22">
    <w:p w14:paraId="5E3E512E" w14:textId="149D5CAE" w:rsidR="009215AB" w:rsidRPr="009215AB" w:rsidRDefault="009215AB">
      <w:pPr>
        <w:pStyle w:val="a3"/>
        <w:rPr>
          <w:rFonts w:asciiTheme="majorBidi" w:hAnsiTheme="majorBidi" w:cstheme="majorBidi"/>
        </w:rPr>
      </w:pPr>
      <w:r w:rsidRPr="009215AB">
        <w:rPr>
          <w:rStyle w:val="a5"/>
          <w:rFonts w:asciiTheme="majorBidi" w:hAnsiTheme="majorBidi" w:cstheme="majorBidi"/>
        </w:rPr>
        <w:footnoteRef/>
      </w:r>
      <w:r w:rsidRPr="009215AB">
        <w:rPr>
          <w:rFonts w:asciiTheme="majorBidi" w:hAnsiTheme="majorBidi" w:cstheme="majorBidi"/>
          <w:rtl/>
        </w:rPr>
        <w:t xml:space="preserve"> רמ"א.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77578083"/>
      <w:docPartObj>
        <w:docPartGallery w:val="Page Numbers (Top of Page)"/>
        <w:docPartUnique/>
      </w:docPartObj>
    </w:sdtPr>
    <w:sdtContent>
      <w:p w14:paraId="294455E8" w14:textId="4EDDF517" w:rsidR="0030781D" w:rsidRDefault="0030781D">
        <w:pPr>
          <w:pStyle w:val="a6"/>
        </w:pPr>
        <w:r>
          <w:fldChar w:fldCharType="begin"/>
        </w:r>
        <w:r>
          <w:instrText>PAGE   \* MERGEFORMAT</w:instrText>
        </w:r>
        <w:r>
          <w:fldChar w:fldCharType="separate"/>
        </w:r>
        <w:r>
          <w:rPr>
            <w:rtl/>
            <w:lang w:val="he-IL"/>
          </w:rPr>
          <w:t>2</w:t>
        </w:r>
        <w:r>
          <w:fldChar w:fldCharType="end"/>
        </w:r>
      </w:p>
    </w:sdtContent>
  </w:sdt>
  <w:p w14:paraId="646BC5AE" w14:textId="77777777" w:rsidR="0030781D" w:rsidRDefault="0030781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E0CDC"/>
    <w:multiLevelType w:val="hybridMultilevel"/>
    <w:tmpl w:val="105AC1E2"/>
    <w:lvl w:ilvl="0" w:tplc="AA9A6F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212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43"/>
    <w:rsid w:val="00010341"/>
    <w:rsid w:val="000236A9"/>
    <w:rsid w:val="00044D3F"/>
    <w:rsid w:val="00136054"/>
    <w:rsid w:val="002637F8"/>
    <w:rsid w:val="00293330"/>
    <w:rsid w:val="0030781D"/>
    <w:rsid w:val="00341C92"/>
    <w:rsid w:val="00386D90"/>
    <w:rsid w:val="00397FC5"/>
    <w:rsid w:val="00486477"/>
    <w:rsid w:val="00865B8F"/>
    <w:rsid w:val="009215AB"/>
    <w:rsid w:val="00967181"/>
    <w:rsid w:val="00A82CF4"/>
    <w:rsid w:val="00AA0F43"/>
    <w:rsid w:val="00B13513"/>
    <w:rsid w:val="00C22006"/>
    <w:rsid w:val="00C52E46"/>
    <w:rsid w:val="00C9025C"/>
    <w:rsid w:val="00CA17B3"/>
    <w:rsid w:val="00DB49AB"/>
    <w:rsid w:val="00DC2809"/>
    <w:rsid w:val="00E470D4"/>
    <w:rsid w:val="00F97A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DE4A"/>
  <w15:chartTrackingRefBased/>
  <w15:docId w15:val="{E5A54FFF-8404-482C-A902-ED34C535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637F8"/>
    <w:pPr>
      <w:spacing w:after="0" w:line="240" w:lineRule="auto"/>
    </w:pPr>
    <w:rPr>
      <w:sz w:val="20"/>
      <w:szCs w:val="20"/>
    </w:rPr>
  </w:style>
  <w:style w:type="character" w:customStyle="1" w:styleId="a4">
    <w:name w:val="טקסט הערת שוליים תו"/>
    <w:basedOn w:val="a0"/>
    <w:link w:val="a3"/>
    <w:uiPriority w:val="99"/>
    <w:semiHidden/>
    <w:rsid w:val="002637F8"/>
    <w:rPr>
      <w:noProof/>
      <w:sz w:val="20"/>
      <w:szCs w:val="20"/>
    </w:rPr>
  </w:style>
  <w:style w:type="character" w:styleId="a5">
    <w:name w:val="footnote reference"/>
    <w:basedOn w:val="a0"/>
    <w:uiPriority w:val="99"/>
    <w:semiHidden/>
    <w:unhideWhenUsed/>
    <w:rsid w:val="002637F8"/>
    <w:rPr>
      <w:vertAlign w:val="superscript"/>
    </w:rPr>
  </w:style>
  <w:style w:type="paragraph" w:styleId="a6">
    <w:name w:val="header"/>
    <w:basedOn w:val="a"/>
    <w:link w:val="a7"/>
    <w:uiPriority w:val="99"/>
    <w:unhideWhenUsed/>
    <w:rsid w:val="0030781D"/>
    <w:pPr>
      <w:tabs>
        <w:tab w:val="center" w:pos="4153"/>
        <w:tab w:val="right" w:pos="8306"/>
      </w:tabs>
      <w:spacing w:after="0" w:line="240" w:lineRule="auto"/>
    </w:pPr>
  </w:style>
  <w:style w:type="character" w:customStyle="1" w:styleId="a7">
    <w:name w:val="כותרת עליונה תו"/>
    <w:basedOn w:val="a0"/>
    <w:link w:val="a6"/>
    <w:uiPriority w:val="99"/>
    <w:rsid w:val="0030781D"/>
    <w:rPr>
      <w:noProof/>
    </w:rPr>
  </w:style>
  <w:style w:type="paragraph" w:styleId="a8">
    <w:name w:val="footer"/>
    <w:basedOn w:val="a"/>
    <w:link w:val="a9"/>
    <w:uiPriority w:val="99"/>
    <w:unhideWhenUsed/>
    <w:rsid w:val="0030781D"/>
    <w:pPr>
      <w:tabs>
        <w:tab w:val="center" w:pos="4153"/>
        <w:tab w:val="right" w:pos="8306"/>
      </w:tabs>
      <w:spacing w:after="0" w:line="240" w:lineRule="auto"/>
    </w:pPr>
  </w:style>
  <w:style w:type="character" w:customStyle="1" w:styleId="a9">
    <w:name w:val="כותרת תחתונה תו"/>
    <w:basedOn w:val="a0"/>
    <w:link w:val="a8"/>
    <w:uiPriority w:val="99"/>
    <w:rsid w:val="0030781D"/>
    <w:rPr>
      <w:noProof/>
    </w:rPr>
  </w:style>
  <w:style w:type="table" w:styleId="aa">
    <w:name w:val="Table Grid"/>
    <w:basedOn w:val="a1"/>
    <w:uiPriority w:val="39"/>
    <w:rsid w:val="0034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C2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65655-42E6-41B6-99AF-FE5FFFA8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3</Pages>
  <Words>899</Words>
  <Characters>4495</Characters>
  <Application>Microsoft Office Word</Application>
  <DocSecurity>0</DocSecurity>
  <Lines>37</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7</cp:revision>
  <dcterms:created xsi:type="dcterms:W3CDTF">2023-11-05T19:21:00Z</dcterms:created>
  <dcterms:modified xsi:type="dcterms:W3CDTF">2023-12-12T09:04:00Z</dcterms:modified>
</cp:coreProperties>
</file>