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66F5C" w14:textId="369B19CC" w:rsidR="00204D8F" w:rsidRDefault="00953E1C" w:rsidP="00204D8F">
      <w:pPr>
        <w:spacing w:after="0" w:line="240" w:lineRule="auto"/>
        <w:rPr>
          <w:rFonts w:ascii="Narkisim" w:hAnsi="Narkisim" w:cs="Narkisim"/>
          <w:rtl/>
        </w:rPr>
      </w:pPr>
      <w:r>
        <w:rPr>
          <w:rFonts w:ascii="Narkisim" w:hAnsi="Narkisim" w:cs="Narkisim" w:hint="cs"/>
          <w:rtl/>
        </w:rPr>
        <w:t>"</w:t>
      </w:r>
      <w:r w:rsidR="00204D8F" w:rsidRPr="00204D8F">
        <w:rPr>
          <w:rFonts w:ascii="Narkisim" w:hAnsi="Narkisim" w:cs="Narkisim"/>
          <w:rtl/>
        </w:rPr>
        <w:t xml:space="preserve">בס' באר הגולה </w:t>
      </w:r>
      <w:r w:rsidR="00204D8F" w:rsidRPr="00AD157A">
        <w:rPr>
          <w:rFonts w:ascii="Narkisim" w:hAnsi="Narkisim" w:cs="Narkisim"/>
          <w:sz w:val="18"/>
          <w:szCs w:val="18"/>
          <w:rtl/>
        </w:rPr>
        <w:t>לחו"מ ריש סי' שמ"ח</w:t>
      </w:r>
      <w:r w:rsidR="00204D8F" w:rsidRPr="00204D8F">
        <w:rPr>
          <w:rFonts w:ascii="Narkisim" w:hAnsi="Narkisim" w:cs="Narkisim"/>
          <w:rtl/>
        </w:rPr>
        <w:t xml:space="preserve"> וז"ל</w:t>
      </w:r>
      <w:r w:rsidR="00204D8F">
        <w:rPr>
          <w:rFonts w:ascii="Narkisim" w:hAnsi="Narkisim" w:cs="Narkisim" w:hint="cs"/>
          <w:rtl/>
        </w:rPr>
        <w:t>:</w:t>
      </w:r>
      <w:r w:rsidR="00204D8F" w:rsidRPr="00204D8F">
        <w:rPr>
          <w:rFonts w:ascii="Narkisim" w:hAnsi="Narkisim" w:cs="Narkisim"/>
          <w:rtl/>
        </w:rPr>
        <w:t xml:space="preserve"> ואני כותב זאת לדורות שראיתי מי שגדלו והעשירו מן טעות שהטעו את הגוים ולא הצליחו וירדו נכסיהם לטמיון ולא הניחו אחריהם ברכה, </w:t>
      </w:r>
      <w:r w:rsidR="00204D8F" w:rsidRPr="00204D8F">
        <w:rPr>
          <w:rFonts w:ascii="Narkisim" w:hAnsi="Narkisim" w:cs="Narkisim"/>
          <w:b/>
          <w:bCs/>
          <w:rtl/>
        </w:rPr>
        <w:t>ורבים אשר קדשו ה' והחזירו טעות הגוים בדבר חשוב גדלו והעשירו והצליחו והניחו יתרם לעולליהם</w:t>
      </w:r>
      <w:r w:rsidR="00204D8F" w:rsidRPr="00204D8F">
        <w:rPr>
          <w:rFonts w:ascii="Narkisim" w:hAnsi="Narkisim" w:cs="Narkisim"/>
          <w:rtl/>
        </w:rPr>
        <w:t>, עכ"ל, ועל דברים נאמנים אלה נאמר שפתים ישק משיב דברים נכוחים. וביותר נכבדים דברים אלה להיודע קורות חיי הנאון בעל באה"ג וזמן כתיבת דבריו אלה, כי הוא וביתו ועירו ומדינתו היו מטרה לקנאת הריקים סמוך לשנת ת"ח ובדרך פלא נצולו בחייהם וכפי שמעיד הוא עצמו "יצאו כולם בגולה מאין מאומה בידיהם</w:t>
      </w:r>
      <w:r w:rsidR="00204D8F">
        <w:rPr>
          <w:rFonts w:ascii="Narkisim" w:hAnsi="Narkisim" w:cs="Narkisim" w:hint="cs"/>
          <w:rtl/>
        </w:rPr>
        <w:t xml:space="preserve">.. </w:t>
      </w:r>
      <w:r w:rsidR="00204D8F" w:rsidRPr="00204D8F">
        <w:rPr>
          <w:rFonts w:ascii="Narkisim" w:hAnsi="Narkisim" w:cs="Narkisim"/>
          <w:rtl/>
        </w:rPr>
        <w:t xml:space="preserve">ויצאו באשר הלכו ותבקע הארץ לקול הגולים" </w:t>
      </w:r>
      <w:r w:rsidR="00204D8F" w:rsidRPr="00953E1C">
        <w:rPr>
          <w:rFonts w:ascii="Narkisim" w:hAnsi="Narkisim" w:cs="Narkisim"/>
          <w:sz w:val="18"/>
          <w:szCs w:val="18"/>
          <w:rtl/>
        </w:rPr>
        <w:t xml:space="preserve">[מהקדמתו הראשונה לס' באה"ג לאו"ח] </w:t>
      </w:r>
      <w:r w:rsidR="00204D8F" w:rsidRPr="00204D8F">
        <w:rPr>
          <w:rFonts w:ascii="Narkisim" w:hAnsi="Narkisim" w:cs="Narkisim"/>
          <w:rtl/>
        </w:rPr>
        <w:t xml:space="preserve">ובא עד העיר אמשטרדם ושם כתב והדפיס ספרו זה ואמרי נועם אלה, ועם כל אלה הנה כה </w:t>
      </w:r>
      <w:r w:rsidR="00204D8F" w:rsidRPr="00204D8F">
        <w:rPr>
          <w:rFonts w:ascii="Narkisim" w:hAnsi="Narkisim" w:cs="Narkisim"/>
          <w:b/>
          <w:bCs/>
          <w:rtl/>
        </w:rPr>
        <w:t>נאמנה רוחו וישרת לבו לכל הנברא בצלם</w:t>
      </w:r>
      <w:r w:rsidR="00204D8F" w:rsidRPr="00204D8F">
        <w:rPr>
          <w:rStyle w:val="a6"/>
          <w:rFonts w:ascii="Narkisim" w:hAnsi="Narkisim" w:cs="Narkisim"/>
          <w:b/>
          <w:bCs/>
          <w:rtl/>
        </w:rPr>
        <w:footnoteReference w:id="1"/>
      </w:r>
      <w:r w:rsidR="00204D8F" w:rsidRPr="00204D8F">
        <w:rPr>
          <w:rFonts w:ascii="Narkisim" w:hAnsi="Narkisim" w:cs="Narkisim" w:hint="cs"/>
          <w:b/>
          <w:bCs/>
          <w:rtl/>
        </w:rPr>
        <w:t>".</w:t>
      </w:r>
    </w:p>
    <w:p w14:paraId="03B99DEB" w14:textId="77777777" w:rsidR="00204D8F" w:rsidRPr="00204D8F" w:rsidRDefault="00204D8F" w:rsidP="00204D8F">
      <w:pPr>
        <w:spacing w:after="0" w:line="240" w:lineRule="auto"/>
        <w:rPr>
          <w:rFonts w:ascii="Narkisim" w:hAnsi="Narkisim" w:cs="Narkisim"/>
          <w:rtl/>
        </w:rPr>
      </w:pPr>
    </w:p>
    <w:p w14:paraId="4085ABA8" w14:textId="2C9B6ECD" w:rsidR="000454F1" w:rsidRPr="000454F1" w:rsidRDefault="000454F1" w:rsidP="000454F1">
      <w:pPr>
        <w:spacing w:after="0" w:line="360" w:lineRule="auto"/>
        <w:rPr>
          <w:rFonts w:asciiTheme="majorBidi" w:hAnsiTheme="majorBidi" w:cstheme="majorBidi"/>
          <w:sz w:val="24"/>
          <w:szCs w:val="24"/>
          <w:rtl/>
        </w:rPr>
      </w:pPr>
      <w:r w:rsidRPr="000454F1">
        <w:rPr>
          <w:rFonts w:asciiTheme="majorBidi" w:hAnsiTheme="majorBidi" w:cstheme="majorBidi"/>
          <w:sz w:val="24"/>
          <w:szCs w:val="24"/>
          <w:rtl/>
        </w:rPr>
        <w:t>מסכת בבא קמא דף קיג עמוד א</w:t>
      </w:r>
    </w:p>
    <w:p w14:paraId="75F72D1B" w14:textId="34718F4C" w:rsidR="00A82CF4" w:rsidRPr="000454F1" w:rsidRDefault="000454F1" w:rsidP="000454F1">
      <w:pPr>
        <w:spacing w:after="0" w:line="360" w:lineRule="auto"/>
        <w:rPr>
          <w:rFonts w:asciiTheme="majorBidi" w:hAnsiTheme="majorBidi" w:cstheme="majorBidi"/>
          <w:sz w:val="24"/>
          <w:szCs w:val="24"/>
          <w:rtl/>
        </w:rPr>
      </w:pPr>
      <w:r w:rsidRPr="000454F1">
        <w:rPr>
          <w:rFonts w:asciiTheme="majorBidi" w:hAnsiTheme="majorBidi" w:cstheme="majorBidi"/>
          <w:sz w:val="24"/>
          <w:szCs w:val="24"/>
          <w:rtl/>
        </w:rPr>
        <w:t>תניא: ישראל וכנעני (אנס) שבאו לדין, אם אתה יכול לזכהו בדיני ישראל – זכהו.. ואם לאו באין עליו בעקיפין, דברי ר' ישמעאל; ר"ע אומר: אין באין עליו בעקיפין, מפני קידוש השם. ור"ע, טעמא דאיכא קידוש השם, הא ליכא קידוש השם - באין, וגזל כנעני מי שרי? והתניא: אמר ר' שמעון, דבר זה דרש ר"ע כשבא מזפירין: מנין לגזל כנעני שהוא אסור? ת"ל: אחרי נמכר גאולה תהיה לו,</w:t>
      </w:r>
    </w:p>
    <w:p w14:paraId="2D8B9B3B" w14:textId="1E95E54B" w:rsidR="000454F1" w:rsidRPr="000454F1" w:rsidRDefault="000454F1" w:rsidP="000454F1">
      <w:pPr>
        <w:spacing w:after="0" w:line="360" w:lineRule="auto"/>
        <w:rPr>
          <w:rFonts w:asciiTheme="majorBidi" w:hAnsiTheme="majorBidi" w:cstheme="majorBidi"/>
          <w:sz w:val="24"/>
          <w:szCs w:val="24"/>
          <w:rtl/>
        </w:rPr>
      </w:pPr>
      <w:r w:rsidRPr="000454F1">
        <w:rPr>
          <w:rFonts w:asciiTheme="majorBidi" w:hAnsiTheme="majorBidi" w:cstheme="majorBidi"/>
          <w:sz w:val="24"/>
          <w:szCs w:val="24"/>
          <w:rtl/>
        </w:rPr>
        <w:t>דף קיג עמוד ב</w:t>
      </w:r>
    </w:p>
    <w:p w14:paraId="71166317" w14:textId="082DCED2" w:rsidR="000454F1" w:rsidRDefault="000454F1" w:rsidP="00430CFD">
      <w:pPr>
        <w:spacing w:after="0" w:line="360" w:lineRule="auto"/>
        <w:rPr>
          <w:rFonts w:asciiTheme="majorBidi" w:hAnsiTheme="majorBidi" w:cstheme="majorBidi"/>
          <w:sz w:val="24"/>
          <w:szCs w:val="24"/>
          <w:rtl/>
        </w:rPr>
      </w:pPr>
      <w:r w:rsidRPr="000454F1">
        <w:rPr>
          <w:rFonts w:asciiTheme="majorBidi" w:hAnsiTheme="majorBidi" w:cstheme="majorBidi"/>
          <w:sz w:val="24"/>
          <w:szCs w:val="24"/>
          <w:rtl/>
        </w:rPr>
        <w:t>שלא ימשכנו ויצא, יכול יגלום עליו? ת"ל: וחשב עם קונהו, ידקדק עם קונהו!.. אמר רבא, לא קשיא: כאן בגזילו, וכאן בהפקעת הלוואתו.. אמר רב ביבי בר גידל אמר ר"ש חסידא: גזל כנעני אסור, אבידתו מותרת; גזילו אסור, דאמר רב הונא: מנין לגזל הכנעני שהוא אסור? שנאמר: ואכלת את כל העמים אשר ה' אלהיך נותן לך, בזמן שהן מסורים בידך, ולא בזמן שאינם מסורין בידך;</w:t>
      </w:r>
    </w:p>
    <w:p w14:paraId="0F33EA64" w14:textId="714A3A1A" w:rsidR="000454F1" w:rsidRDefault="000454F1" w:rsidP="000454F1">
      <w:pPr>
        <w:spacing w:after="0" w:line="360" w:lineRule="auto"/>
        <w:jc w:val="center"/>
        <w:rPr>
          <w:rFonts w:asciiTheme="majorBidi" w:hAnsiTheme="majorBidi" w:cstheme="majorBidi"/>
          <w:b/>
          <w:bCs/>
          <w:sz w:val="28"/>
          <w:szCs w:val="28"/>
          <w:u w:val="single"/>
          <w:rtl/>
        </w:rPr>
      </w:pPr>
      <w:r>
        <w:rPr>
          <w:rFonts w:asciiTheme="majorBidi" w:hAnsiTheme="majorBidi" w:cstheme="majorBidi" w:hint="cs"/>
          <w:b/>
          <w:bCs/>
          <w:sz w:val="28"/>
          <w:szCs w:val="28"/>
          <w:u w:val="single"/>
          <w:rtl/>
        </w:rPr>
        <w:t>גזל גוי</w:t>
      </w:r>
    </w:p>
    <w:p w14:paraId="5514CEE3" w14:textId="644C76CA" w:rsidR="000454F1" w:rsidRDefault="00417EE5" w:rsidP="00417EE5">
      <w:pPr>
        <w:pStyle w:val="a3"/>
        <w:numPr>
          <w:ilvl w:val="0"/>
          <w:numId w:val="1"/>
        </w:numPr>
        <w:spacing w:after="0" w:line="360" w:lineRule="auto"/>
        <w:rPr>
          <w:rFonts w:asciiTheme="majorBidi" w:hAnsiTheme="majorBidi" w:cstheme="majorBidi"/>
          <w:b/>
          <w:bCs/>
          <w:sz w:val="24"/>
          <w:szCs w:val="24"/>
        </w:rPr>
      </w:pPr>
      <w:r>
        <w:rPr>
          <w:rFonts w:asciiTheme="majorBidi" w:hAnsiTheme="majorBidi" w:cstheme="majorBidi" w:hint="cs"/>
          <w:b/>
          <w:bCs/>
          <w:sz w:val="24"/>
          <w:szCs w:val="24"/>
          <w:rtl/>
        </w:rPr>
        <w:t>שיטת המתירים</w:t>
      </w:r>
    </w:p>
    <w:p w14:paraId="1468F046" w14:textId="7CCE0D56" w:rsidR="00417EE5" w:rsidRDefault="00417EE5" w:rsidP="00417EE5">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רבי ישמעאל בסוגייתנו לכאורה התיר </w:t>
      </w:r>
      <w:r w:rsidR="00FC720E">
        <w:rPr>
          <w:rFonts w:asciiTheme="majorBidi" w:hAnsiTheme="majorBidi" w:cstheme="majorBidi" w:hint="cs"/>
          <w:sz w:val="24"/>
          <w:szCs w:val="24"/>
          <w:rtl/>
        </w:rPr>
        <w:t>גזל הגוי</w:t>
      </w:r>
      <w:r>
        <w:rPr>
          <w:rFonts w:asciiTheme="majorBidi" w:hAnsiTheme="majorBidi" w:cstheme="majorBidi" w:hint="cs"/>
          <w:sz w:val="24"/>
          <w:szCs w:val="24"/>
          <w:rtl/>
        </w:rPr>
        <w:t xml:space="preserve">. דעה זו עולה ממקורות נוספים: </w:t>
      </w:r>
      <w:r>
        <w:rPr>
          <w:rFonts w:asciiTheme="majorBidi" w:hAnsiTheme="majorBidi" w:cs="Times New Roman" w:hint="cs"/>
          <w:sz w:val="24"/>
          <w:szCs w:val="24"/>
          <w:rtl/>
        </w:rPr>
        <w:t xml:space="preserve"> </w:t>
      </w:r>
    </w:p>
    <w:p w14:paraId="1565EB85" w14:textId="07D9F6DF" w:rsidR="00417EE5" w:rsidRPr="00417EE5" w:rsidRDefault="00417EE5" w:rsidP="00417EE5">
      <w:pPr>
        <w:spacing w:after="0" w:line="360" w:lineRule="auto"/>
        <w:rPr>
          <w:rFonts w:ascii="David" w:hAnsi="David" w:cs="David"/>
          <w:sz w:val="24"/>
          <w:szCs w:val="24"/>
          <w:rtl/>
        </w:rPr>
      </w:pPr>
      <w:r w:rsidRPr="00417EE5">
        <w:rPr>
          <w:rFonts w:ascii="David" w:hAnsi="David" w:cs="David"/>
          <w:sz w:val="24"/>
          <w:szCs w:val="24"/>
          <w:rtl/>
        </w:rPr>
        <w:t>"מאחיך - פרט לאחרים</w:t>
      </w:r>
      <w:r w:rsidRPr="00417EE5">
        <w:rPr>
          <w:rStyle w:val="a6"/>
          <w:rFonts w:ascii="David" w:hAnsi="David" w:cs="David"/>
          <w:sz w:val="24"/>
          <w:szCs w:val="24"/>
          <w:rtl/>
        </w:rPr>
        <w:footnoteReference w:id="2"/>
      </w:r>
      <w:r w:rsidRPr="00417EE5">
        <w:rPr>
          <w:rFonts w:ascii="David" w:hAnsi="David" w:cs="David"/>
          <w:sz w:val="24"/>
          <w:szCs w:val="24"/>
          <w:rtl/>
        </w:rPr>
        <w:t xml:space="preserve">" </w:t>
      </w:r>
      <w:r>
        <w:rPr>
          <w:rFonts w:ascii="David" w:hAnsi="David" w:cs="David" w:hint="cs"/>
          <w:sz w:val="24"/>
          <w:szCs w:val="24"/>
          <w:rtl/>
        </w:rPr>
        <w:t xml:space="preserve"> </w:t>
      </w:r>
      <w:r w:rsidRPr="00417EE5">
        <w:rPr>
          <w:rFonts w:asciiTheme="majorBidi" w:hAnsiTheme="majorBidi" w:cstheme="majorBidi"/>
          <w:sz w:val="24"/>
          <w:szCs w:val="24"/>
          <w:rtl/>
        </w:rPr>
        <w:t>ומבאר רש"י:</w:t>
      </w:r>
      <w:r>
        <w:rPr>
          <w:rFonts w:asciiTheme="majorBidi" w:hAnsiTheme="majorBidi" w:cs="Times New Roman" w:hint="cs"/>
          <w:sz w:val="24"/>
          <w:szCs w:val="24"/>
          <w:rtl/>
        </w:rPr>
        <w:t xml:space="preserve"> </w:t>
      </w:r>
      <w:r>
        <w:rPr>
          <w:rFonts w:ascii="David" w:hAnsi="David" w:cs="David" w:hint="cs"/>
          <w:sz w:val="24"/>
          <w:szCs w:val="24"/>
          <w:rtl/>
        </w:rPr>
        <w:t xml:space="preserve">  </w:t>
      </w:r>
      <w:r w:rsidRPr="00417EE5">
        <w:rPr>
          <w:rFonts w:ascii="David" w:hAnsi="David" w:cs="David"/>
          <w:sz w:val="24"/>
          <w:szCs w:val="24"/>
          <w:rtl/>
        </w:rPr>
        <w:t>"מאחיך - לא תעשוק שכיר עני ואביון מאחיך.</w:t>
      </w:r>
    </w:p>
    <w:p w14:paraId="1F68EF65" w14:textId="563BA213" w:rsidR="00417EE5" w:rsidRDefault="00417EE5" w:rsidP="00AD157A">
      <w:pPr>
        <w:spacing w:after="0" w:line="360" w:lineRule="auto"/>
        <w:rPr>
          <w:rFonts w:ascii="David" w:hAnsi="David" w:cs="David"/>
          <w:sz w:val="24"/>
          <w:szCs w:val="24"/>
          <w:rtl/>
        </w:rPr>
      </w:pPr>
      <w:r w:rsidRPr="00417EE5">
        <w:rPr>
          <w:rFonts w:ascii="David" w:hAnsi="David" w:cs="David"/>
          <w:sz w:val="24"/>
          <w:szCs w:val="24"/>
          <w:rtl/>
        </w:rPr>
        <w:t>פרט לאחרים – נכרי".</w:t>
      </w:r>
      <w:r>
        <w:rPr>
          <w:rFonts w:ascii="David" w:hAnsi="David" w:cs="David" w:hint="cs"/>
          <w:sz w:val="24"/>
          <w:szCs w:val="24"/>
          <w:rtl/>
        </w:rPr>
        <w:t xml:space="preserve">  </w:t>
      </w:r>
      <w:r w:rsidRPr="00C17FA9">
        <w:rPr>
          <w:rFonts w:asciiTheme="majorBidi" w:hAnsiTheme="majorBidi" w:cstheme="majorBidi"/>
          <w:sz w:val="24"/>
          <w:szCs w:val="24"/>
          <w:rtl/>
        </w:rPr>
        <w:t xml:space="preserve">בירושלמי  </w:t>
      </w:r>
      <w:r w:rsidR="00C17FA9">
        <w:rPr>
          <w:rFonts w:asciiTheme="majorBidi" w:hAnsiTheme="majorBidi" w:cstheme="majorBidi" w:hint="cs"/>
          <w:sz w:val="24"/>
          <w:szCs w:val="24"/>
          <w:rtl/>
        </w:rPr>
        <w:t>מסופ</w:t>
      </w:r>
      <w:r w:rsidRPr="00C17FA9">
        <w:rPr>
          <w:rFonts w:asciiTheme="majorBidi" w:hAnsiTheme="majorBidi" w:cstheme="majorBidi"/>
          <w:sz w:val="24"/>
          <w:szCs w:val="24"/>
          <w:rtl/>
        </w:rPr>
        <w:t>ר:</w:t>
      </w:r>
      <w:r>
        <w:rPr>
          <w:rFonts w:ascii="David" w:hAnsi="David" w:cs="David" w:hint="cs"/>
          <w:sz w:val="24"/>
          <w:szCs w:val="24"/>
          <w:rtl/>
        </w:rPr>
        <w:t xml:space="preserve"> </w:t>
      </w:r>
      <w:r w:rsidR="00AD157A">
        <w:rPr>
          <w:rFonts w:ascii="David" w:hAnsi="David" w:cs="David" w:hint="cs"/>
          <w:sz w:val="24"/>
          <w:szCs w:val="24"/>
          <w:rtl/>
        </w:rPr>
        <w:t xml:space="preserve"> </w:t>
      </w:r>
      <w:r>
        <w:rPr>
          <w:rFonts w:ascii="David" w:hAnsi="David" w:cs="David" w:hint="cs"/>
          <w:sz w:val="24"/>
          <w:szCs w:val="24"/>
          <w:rtl/>
        </w:rPr>
        <w:t>"</w:t>
      </w:r>
      <w:r w:rsidRPr="00417EE5">
        <w:rPr>
          <w:rFonts w:ascii="David" w:hAnsi="David" w:cs="David"/>
          <w:sz w:val="24"/>
          <w:szCs w:val="24"/>
          <w:rtl/>
        </w:rPr>
        <w:t>מעשה ששילח המלכות שני איסטרטיוטות ללמוד תורה מרבן גמליאל</w:t>
      </w:r>
      <w:r w:rsidR="00C17FA9">
        <w:rPr>
          <w:rFonts w:ascii="David" w:hAnsi="David" w:cs="David" w:hint="cs"/>
          <w:sz w:val="24"/>
          <w:szCs w:val="24"/>
          <w:rtl/>
        </w:rPr>
        <w:t>,</w:t>
      </w:r>
      <w:r w:rsidRPr="00417EE5">
        <w:rPr>
          <w:rFonts w:ascii="David" w:hAnsi="David" w:cs="David"/>
          <w:sz w:val="24"/>
          <w:szCs w:val="24"/>
          <w:rtl/>
        </w:rPr>
        <w:t xml:space="preserve"> ולמדו ממנו מקרא משנה תלמוד הלכות ואגדות</w:t>
      </w:r>
      <w:r w:rsidR="00C17FA9">
        <w:rPr>
          <w:rFonts w:ascii="David" w:hAnsi="David" w:cs="David" w:hint="cs"/>
          <w:sz w:val="24"/>
          <w:szCs w:val="24"/>
          <w:rtl/>
        </w:rPr>
        <w:t>.</w:t>
      </w:r>
      <w:r w:rsidRPr="00417EE5">
        <w:rPr>
          <w:rFonts w:ascii="David" w:hAnsi="David" w:cs="David"/>
          <w:sz w:val="24"/>
          <w:szCs w:val="24"/>
          <w:rtl/>
        </w:rPr>
        <w:t xml:space="preserve"> ובסוף אמרו לו</w:t>
      </w:r>
      <w:r w:rsidR="00C17FA9">
        <w:rPr>
          <w:rFonts w:ascii="David" w:hAnsi="David" w:cs="David" w:hint="cs"/>
          <w:sz w:val="24"/>
          <w:szCs w:val="24"/>
          <w:rtl/>
        </w:rPr>
        <w:t>:</w:t>
      </w:r>
      <w:r w:rsidRPr="00417EE5">
        <w:rPr>
          <w:rFonts w:ascii="David" w:hAnsi="David" w:cs="David"/>
          <w:sz w:val="24"/>
          <w:szCs w:val="24"/>
          <w:rtl/>
        </w:rPr>
        <w:t xml:space="preserve"> </w:t>
      </w:r>
      <w:r w:rsidR="00C17FA9">
        <w:rPr>
          <w:rFonts w:ascii="David" w:hAnsi="David" w:cs="David" w:hint="cs"/>
          <w:sz w:val="24"/>
          <w:szCs w:val="24"/>
          <w:rtl/>
        </w:rPr>
        <w:t>'</w:t>
      </w:r>
      <w:r w:rsidRPr="00417EE5">
        <w:rPr>
          <w:rFonts w:ascii="David" w:hAnsi="David" w:cs="David"/>
          <w:sz w:val="24"/>
          <w:szCs w:val="24"/>
          <w:rtl/>
        </w:rPr>
        <w:t>כל תורתכם נאה ומשובחת חוץ מ</w:t>
      </w:r>
      <w:r>
        <w:rPr>
          <w:rFonts w:ascii="David" w:hAnsi="David" w:cs="David" w:hint="cs"/>
          <w:sz w:val="24"/>
          <w:szCs w:val="24"/>
          <w:rtl/>
        </w:rPr>
        <w:t>...</w:t>
      </w:r>
      <w:r w:rsidR="00C17FA9">
        <w:rPr>
          <w:rFonts w:ascii="David" w:hAnsi="David" w:cs="David" w:hint="cs"/>
          <w:sz w:val="24"/>
          <w:szCs w:val="24"/>
          <w:rtl/>
        </w:rPr>
        <w:t xml:space="preserve"> </w:t>
      </w:r>
      <w:r w:rsidRPr="00417EE5">
        <w:rPr>
          <w:rFonts w:ascii="David" w:hAnsi="David" w:cs="David"/>
          <w:sz w:val="24"/>
          <w:szCs w:val="24"/>
          <w:rtl/>
        </w:rPr>
        <w:t>גזילו של ישראל אסור ושל עכו"ם מותר</w:t>
      </w:r>
      <w:r w:rsidR="00C17FA9">
        <w:rPr>
          <w:rFonts w:ascii="David" w:hAnsi="David" w:cs="David" w:hint="cs"/>
          <w:sz w:val="24"/>
          <w:szCs w:val="24"/>
          <w:rtl/>
        </w:rPr>
        <w:t>'</w:t>
      </w:r>
      <w:r w:rsidRPr="00417EE5">
        <w:rPr>
          <w:rFonts w:ascii="David" w:hAnsi="David" w:cs="David"/>
          <w:sz w:val="24"/>
          <w:szCs w:val="24"/>
          <w:rtl/>
        </w:rPr>
        <w:t>. באותו שעה גזר רבן גמליאל על גזילות עכו"ם שיהא אסור מפני חילול השם</w:t>
      </w:r>
      <w:r>
        <w:rPr>
          <w:rStyle w:val="a6"/>
          <w:rFonts w:ascii="David" w:hAnsi="David" w:cs="David"/>
          <w:sz w:val="24"/>
          <w:szCs w:val="24"/>
          <w:rtl/>
        </w:rPr>
        <w:footnoteReference w:id="3"/>
      </w:r>
      <w:r w:rsidR="00C17FA9">
        <w:rPr>
          <w:rFonts w:ascii="David" w:hAnsi="David" w:cs="David" w:hint="cs"/>
          <w:sz w:val="24"/>
          <w:szCs w:val="24"/>
          <w:rtl/>
        </w:rPr>
        <w:t>"</w:t>
      </w:r>
      <w:r w:rsidRPr="00417EE5">
        <w:rPr>
          <w:rFonts w:ascii="David" w:hAnsi="David" w:cs="David"/>
          <w:sz w:val="24"/>
          <w:szCs w:val="24"/>
          <w:rtl/>
        </w:rPr>
        <w:t>.</w:t>
      </w:r>
      <w:r w:rsidR="00C17FA9">
        <w:rPr>
          <w:rFonts w:ascii="David" w:hAnsi="David" w:cs="David" w:hint="cs"/>
          <w:sz w:val="24"/>
          <w:szCs w:val="24"/>
          <w:rtl/>
        </w:rPr>
        <w:t xml:space="preserve"> "אם נפרש שהירושלמי.. נוקט כמי שאמר ש</w:t>
      </w:r>
      <w:r w:rsidR="00FC720E">
        <w:rPr>
          <w:rFonts w:ascii="David" w:hAnsi="David" w:cs="David" w:hint="cs"/>
          <w:sz w:val="24"/>
          <w:szCs w:val="24"/>
          <w:rtl/>
        </w:rPr>
        <w:t>גזל הגוי</w:t>
      </w:r>
      <w:r w:rsidR="00C17FA9">
        <w:rPr>
          <w:rFonts w:ascii="David" w:hAnsi="David" w:cs="David" w:hint="cs"/>
          <w:sz w:val="24"/>
          <w:szCs w:val="24"/>
          <w:rtl/>
        </w:rPr>
        <w:t xml:space="preserve"> אסור, יצא שלמי שאמר ש</w:t>
      </w:r>
      <w:r w:rsidR="00FC720E">
        <w:rPr>
          <w:rFonts w:ascii="David" w:hAnsi="David" w:cs="David" w:hint="cs"/>
          <w:sz w:val="24"/>
          <w:szCs w:val="24"/>
          <w:rtl/>
        </w:rPr>
        <w:t>גזל הגוי</w:t>
      </w:r>
      <w:r w:rsidR="00C17FA9">
        <w:rPr>
          <w:rFonts w:ascii="David" w:hAnsi="David" w:cs="David" w:hint="cs"/>
          <w:sz w:val="24"/>
          <w:szCs w:val="24"/>
          <w:rtl/>
        </w:rPr>
        <w:t xml:space="preserve"> מותר, זה יהיה מותר באופן מוחלט</w:t>
      </w:r>
      <w:r w:rsidR="00C17FA9">
        <w:rPr>
          <w:rStyle w:val="a6"/>
          <w:rFonts w:ascii="David" w:hAnsi="David" w:cs="David"/>
          <w:sz w:val="24"/>
          <w:szCs w:val="24"/>
          <w:rtl/>
        </w:rPr>
        <w:footnoteReference w:id="4"/>
      </w:r>
      <w:r w:rsidR="00C17FA9">
        <w:rPr>
          <w:rFonts w:ascii="David" w:hAnsi="David" w:cs="David" w:hint="cs"/>
          <w:sz w:val="24"/>
          <w:szCs w:val="24"/>
          <w:rtl/>
        </w:rPr>
        <w:t xml:space="preserve">". </w:t>
      </w:r>
      <w:r w:rsidR="00C17FA9">
        <w:rPr>
          <w:rFonts w:asciiTheme="majorBidi" w:hAnsiTheme="majorBidi" w:cstheme="majorBidi" w:hint="cs"/>
          <w:sz w:val="24"/>
          <w:szCs w:val="24"/>
          <w:rtl/>
        </w:rPr>
        <w:t xml:space="preserve">אם </w:t>
      </w:r>
      <w:r w:rsidR="00AD157A">
        <w:rPr>
          <w:rFonts w:asciiTheme="majorBidi" w:hAnsiTheme="majorBidi" w:cstheme="majorBidi" w:hint="cs"/>
          <w:sz w:val="24"/>
          <w:szCs w:val="24"/>
          <w:rtl/>
        </w:rPr>
        <w:t>מדובר על פי המתירים</w:t>
      </w:r>
      <w:r w:rsidR="00C17FA9">
        <w:rPr>
          <w:rFonts w:asciiTheme="majorBidi" w:hAnsiTheme="majorBidi" w:cstheme="majorBidi" w:hint="cs"/>
          <w:sz w:val="24"/>
          <w:szCs w:val="24"/>
          <w:rtl/>
        </w:rPr>
        <w:t>,</w:t>
      </w:r>
      <w:r w:rsidR="00AD157A">
        <w:rPr>
          <w:rFonts w:asciiTheme="majorBidi" w:hAnsiTheme="majorBidi" w:cstheme="majorBidi" w:hint="cs"/>
          <w:sz w:val="24"/>
          <w:szCs w:val="24"/>
          <w:rtl/>
        </w:rPr>
        <w:t>יוצא ש</w:t>
      </w:r>
      <w:r w:rsidR="00C17FA9">
        <w:rPr>
          <w:rFonts w:asciiTheme="majorBidi" w:hAnsiTheme="majorBidi" w:cstheme="majorBidi" w:hint="cs"/>
          <w:sz w:val="24"/>
          <w:szCs w:val="24"/>
          <w:rtl/>
        </w:rPr>
        <w:t xml:space="preserve">גם למתירים ישנו איסור דרבנן. הגר"א הסתפק בזיהוי דעת הירושלמי. הוא מביא את דברי רש"י:  </w:t>
      </w:r>
      <w:r w:rsidR="00C17FA9" w:rsidRPr="00C17FA9">
        <w:rPr>
          <w:rFonts w:ascii="David" w:hAnsi="David" w:cs="David"/>
          <w:sz w:val="24"/>
          <w:szCs w:val="24"/>
          <w:rtl/>
        </w:rPr>
        <w:t xml:space="preserve">"ישראל בנכרי מותר - דלא תעשוק את רעך כתיב </w:t>
      </w:r>
      <w:r w:rsidR="00C17FA9" w:rsidRPr="00C75F68">
        <w:rPr>
          <w:rFonts w:ascii="David" w:hAnsi="David" w:cs="David"/>
          <w:sz w:val="18"/>
          <w:szCs w:val="18"/>
          <w:rtl/>
        </w:rPr>
        <w:t>(ויקרא יט)</w:t>
      </w:r>
      <w:r w:rsidR="00C17FA9" w:rsidRPr="00C17FA9">
        <w:rPr>
          <w:rFonts w:ascii="David" w:hAnsi="David" w:cs="David"/>
          <w:sz w:val="24"/>
          <w:szCs w:val="24"/>
          <w:rtl/>
        </w:rPr>
        <w:t xml:space="preserve"> ולא נכרי, </w:t>
      </w:r>
      <w:r w:rsidR="00C17FA9" w:rsidRPr="00C17FA9">
        <w:rPr>
          <w:rFonts w:ascii="David" w:hAnsi="David" w:cs="David"/>
          <w:b/>
          <w:bCs/>
          <w:sz w:val="24"/>
          <w:szCs w:val="24"/>
          <w:rtl/>
        </w:rPr>
        <w:t xml:space="preserve">ומדרבנן </w:t>
      </w:r>
      <w:r w:rsidR="00C17FA9" w:rsidRPr="00C17FA9">
        <w:rPr>
          <w:rFonts w:ascii="David" w:hAnsi="David" w:cs="David"/>
          <w:sz w:val="24"/>
          <w:szCs w:val="24"/>
          <w:rtl/>
        </w:rPr>
        <w:t xml:space="preserve">איכא למאן </w:t>
      </w:r>
      <w:r w:rsidR="00C17FA9" w:rsidRPr="00C17FA9">
        <w:rPr>
          <w:rFonts w:ascii="David" w:hAnsi="David" w:cs="David"/>
          <w:sz w:val="24"/>
          <w:szCs w:val="24"/>
          <w:rtl/>
        </w:rPr>
        <w:lastRenderedPageBreak/>
        <w:t>דאסר משום חילול השם בהגוזל בתרא</w:t>
      </w:r>
      <w:r w:rsidR="00C17FA9" w:rsidRPr="00C17FA9">
        <w:rPr>
          <w:rStyle w:val="a6"/>
          <w:rFonts w:ascii="David" w:hAnsi="David" w:cs="David"/>
          <w:sz w:val="24"/>
          <w:szCs w:val="24"/>
          <w:rtl/>
        </w:rPr>
        <w:footnoteReference w:id="5"/>
      </w:r>
      <w:r w:rsidR="00C17FA9" w:rsidRPr="00C17FA9">
        <w:rPr>
          <w:rFonts w:ascii="David" w:hAnsi="David" w:cs="David"/>
          <w:sz w:val="24"/>
          <w:szCs w:val="24"/>
          <w:rtl/>
        </w:rPr>
        <w:t>"</w:t>
      </w:r>
      <w:r w:rsidR="00C17FA9">
        <w:rPr>
          <w:rFonts w:ascii="David" w:hAnsi="David" w:cs="David" w:hint="cs"/>
          <w:sz w:val="24"/>
          <w:szCs w:val="24"/>
          <w:rtl/>
        </w:rPr>
        <w:t xml:space="preserve">  </w:t>
      </w:r>
      <w:r w:rsidR="00C17FA9">
        <w:rPr>
          <w:rFonts w:asciiTheme="majorBidi" w:hAnsiTheme="majorBidi" w:cstheme="majorBidi" w:hint="cs"/>
          <w:sz w:val="24"/>
          <w:szCs w:val="24"/>
          <w:rtl/>
        </w:rPr>
        <w:t xml:space="preserve">ואת דברי הירושלמי, אך מעיר: </w:t>
      </w:r>
      <w:r w:rsidR="00C17FA9">
        <w:rPr>
          <w:rFonts w:ascii="David" w:hAnsi="David" w:cs="David" w:hint="cs"/>
          <w:sz w:val="24"/>
          <w:szCs w:val="24"/>
          <w:rtl/>
        </w:rPr>
        <w:t>"</w:t>
      </w:r>
      <w:r w:rsidR="00C17FA9" w:rsidRPr="00C17FA9">
        <w:rPr>
          <w:rFonts w:ascii="David" w:hAnsi="David" w:cs="David"/>
          <w:sz w:val="24"/>
          <w:szCs w:val="24"/>
          <w:rtl/>
        </w:rPr>
        <w:t>אבל י"ל דאתי כמ"ד גזל הגוי מותר</w:t>
      </w:r>
      <w:r w:rsidR="00C17FA9">
        <w:rPr>
          <w:rStyle w:val="a6"/>
          <w:rFonts w:ascii="David" w:hAnsi="David" w:cs="David"/>
          <w:sz w:val="24"/>
          <w:szCs w:val="24"/>
          <w:rtl/>
        </w:rPr>
        <w:footnoteReference w:id="6"/>
      </w:r>
      <w:r w:rsidR="00C17FA9">
        <w:rPr>
          <w:rFonts w:ascii="David" w:hAnsi="David" w:cs="David" w:hint="cs"/>
          <w:sz w:val="24"/>
          <w:szCs w:val="24"/>
          <w:rtl/>
        </w:rPr>
        <w:t>"</w:t>
      </w:r>
      <w:r w:rsidR="00017341">
        <w:rPr>
          <w:rFonts w:ascii="David" w:hAnsi="David" w:cs="David" w:hint="cs"/>
          <w:sz w:val="24"/>
          <w:szCs w:val="24"/>
          <w:rtl/>
        </w:rPr>
        <w:t xml:space="preserve">.  </w:t>
      </w:r>
      <w:r w:rsidR="00017341" w:rsidRPr="00017341">
        <w:rPr>
          <w:rFonts w:asciiTheme="majorBidi" w:hAnsiTheme="majorBidi" w:cstheme="majorBidi"/>
          <w:sz w:val="24"/>
          <w:szCs w:val="24"/>
          <w:rtl/>
        </w:rPr>
        <w:t>גם למתירים סייגים יש בהיתר:</w:t>
      </w:r>
      <w:r w:rsidR="00C6077E">
        <w:rPr>
          <w:rFonts w:ascii="David" w:hAnsi="David" w:cs="David" w:hint="cs"/>
          <w:sz w:val="24"/>
          <w:szCs w:val="24"/>
          <w:rtl/>
        </w:rPr>
        <w:t xml:space="preserve"> </w:t>
      </w:r>
    </w:p>
    <w:p w14:paraId="38CD6273" w14:textId="2280AB38" w:rsidR="007C6D62" w:rsidRPr="007C6D62" w:rsidRDefault="007C6D62" w:rsidP="007C6D62">
      <w:pPr>
        <w:pStyle w:val="a3"/>
        <w:numPr>
          <w:ilvl w:val="0"/>
          <w:numId w:val="2"/>
        </w:numPr>
        <w:spacing w:after="0" w:line="360" w:lineRule="auto"/>
        <w:rPr>
          <w:rFonts w:ascii="David" w:hAnsi="David" w:cs="David"/>
          <w:sz w:val="24"/>
          <w:szCs w:val="24"/>
        </w:rPr>
      </w:pPr>
      <w:r>
        <w:rPr>
          <w:rFonts w:ascii="David" w:hAnsi="David" w:cs="David" w:hint="cs"/>
          <w:sz w:val="24"/>
          <w:szCs w:val="24"/>
          <w:rtl/>
        </w:rPr>
        <w:t>"</w:t>
      </w:r>
      <w:r w:rsidRPr="007C6D62">
        <w:rPr>
          <w:rFonts w:ascii="David" w:hAnsi="David" w:cs="David"/>
          <w:sz w:val="24"/>
          <w:szCs w:val="24"/>
          <w:rtl/>
        </w:rPr>
        <w:t xml:space="preserve">אפילו לדברי האומר בפרק המקבל </w:t>
      </w:r>
      <w:r w:rsidRPr="007C6D62">
        <w:rPr>
          <w:rFonts w:ascii="David" w:hAnsi="David" w:cs="David"/>
          <w:sz w:val="18"/>
          <w:szCs w:val="18"/>
          <w:rtl/>
        </w:rPr>
        <w:t xml:space="preserve">(ב"מ קיא, ב) </w:t>
      </w:r>
      <w:r w:rsidRPr="007C6D62">
        <w:rPr>
          <w:rFonts w:ascii="David" w:hAnsi="David" w:cs="David"/>
          <w:sz w:val="24"/>
          <w:szCs w:val="24"/>
          <w:rtl/>
        </w:rPr>
        <w:t xml:space="preserve">שגזלו של גוי מותר, </w:t>
      </w:r>
      <w:r w:rsidRPr="007C6D62">
        <w:rPr>
          <w:rFonts w:ascii="David" w:hAnsi="David" w:cs="David"/>
          <w:b/>
          <w:bCs/>
          <w:sz w:val="24"/>
          <w:szCs w:val="24"/>
          <w:rtl/>
        </w:rPr>
        <w:t>זהו בגוי שצערו לישראל</w:t>
      </w:r>
      <w:r w:rsidRPr="007C6D62">
        <w:rPr>
          <w:rStyle w:val="a6"/>
          <w:rFonts w:ascii="David" w:hAnsi="David" w:cs="David"/>
          <w:b/>
          <w:bCs/>
          <w:sz w:val="24"/>
          <w:szCs w:val="24"/>
          <w:rtl/>
        </w:rPr>
        <w:footnoteReference w:id="7"/>
      </w:r>
      <w:r w:rsidRPr="007C6D62">
        <w:rPr>
          <w:rFonts w:ascii="David" w:hAnsi="David" w:cs="David"/>
          <w:sz w:val="24"/>
          <w:szCs w:val="24"/>
          <w:rtl/>
        </w:rPr>
        <w:t xml:space="preserve"> ואף בזו אין הלכה כמותו, אבל בחנם אף הוא מודה שאסור לגזול הגוי, והקפידה תורה על גזל הרשעים כמו שנאמר </w:t>
      </w:r>
      <w:r w:rsidRPr="007C6D62">
        <w:rPr>
          <w:rFonts w:ascii="David" w:hAnsi="David" w:cs="David"/>
          <w:sz w:val="18"/>
          <w:szCs w:val="18"/>
          <w:rtl/>
        </w:rPr>
        <w:t xml:space="preserve">(בראשית ו, יא) </w:t>
      </w:r>
      <w:r w:rsidRPr="007C6D62">
        <w:rPr>
          <w:rFonts w:ascii="David" w:hAnsi="David" w:cs="David"/>
          <w:sz w:val="24"/>
          <w:szCs w:val="24"/>
          <w:rtl/>
        </w:rPr>
        <w:t>ותמלא הארץ חמס</w:t>
      </w:r>
      <w:r w:rsidRPr="007C6D62">
        <w:rPr>
          <w:rStyle w:val="a6"/>
          <w:rFonts w:ascii="David" w:hAnsi="David" w:cs="David"/>
          <w:sz w:val="24"/>
          <w:szCs w:val="24"/>
          <w:rtl/>
        </w:rPr>
        <w:footnoteReference w:id="8"/>
      </w:r>
      <w:r w:rsidRPr="007C6D62">
        <w:rPr>
          <w:rFonts w:ascii="David" w:hAnsi="David" w:cs="David"/>
          <w:sz w:val="24"/>
          <w:szCs w:val="24"/>
          <w:rtl/>
        </w:rPr>
        <w:t>".</w:t>
      </w:r>
    </w:p>
    <w:p w14:paraId="512509BB" w14:textId="755E4858" w:rsidR="007C6D62" w:rsidRDefault="00017341" w:rsidP="009F0D4C">
      <w:pPr>
        <w:pStyle w:val="a3"/>
        <w:numPr>
          <w:ilvl w:val="0"/>
          <w:numId w:val="2"/>
        </w:numPr>
        <w:spacing w:after="0" w:line="360" w:lineRule="auto"/>
        <w:rPr>
          <w:rFonts w:asciiTheme="majorBidi" w:hAnsiTheme="majorBidi" w:cstheme="majorBidi"/>
          <w:sz w:val="24"/>
          <w:szCs w:val="24"/>
        </w:rPr>
      </w:pPr>
      <w:r>
        <w:rPr>
          <w:rFonts w:asciiTheme="majorBidi" w:hAnsiTheme="majorBidi" w:cstheme="majorBidi" w:hint="cs"/>
          <w:sz w:val="24"/>
          <w:szCs w:val="24"/>
          <w:rtl/>
        </w:rPr>
        <w:t>רבי אליעזר ממיץ פקפק ב</w:t>
      </w:r>
      <w:r w:rsidR="00C75F68">
        <w:rPr>
          <w:rFonts w:asciiTheme="majorBidi" w:hAnsiTheme="majorBidi" w:cstheme="majorBidi" w:hint="cs"/>
          <w:sz w:val="24"/>
          <w:szCs w:val="24"/>
          <w:rtl/>
        </w:rPr>
        <w:t>תוקף קניין של</w:t>
      </w:r>
      <w:r>
        <w:rPr>
          <w:rFonts w:asciiTheme="majorBidi" w:hAnsiTheme="majorBidi" w:cstheme="majorBidi" w:hint="cs"/>
          <w:sz w:val="24"/>
          <w:szCs w:val="24"/>
          <w:rtl/>
        </w:rPr>
        <w:t xml:space="preserve"> חפץ שנלקח ב</w:t>
      </w:r>
      <w:r w:rsidR="00FC720E">
        <w:rPr>
          <w:rFonts w:asciiTheme="majorBidi" w:hAnsiTheme="majorBidi" w:cstheme="majorBidi" w:hint="cs"/>
          <w:sz w:val="24"/>
          <w:szCs w:val="24"/>
          <w:rtl/>
        </w:rPr>
        <w:t>גזל הגוי</w:t>
      </w:r>
      <w:r>
        <w:rPr>
          <w:rFonts w:asciiTheme="majorBidi" w:hAnsiTheme="majorBidi" w:cstheme="majorBidi" w:hint="cs"/>
          <w:sz w:val="24"/>
          <w:szCs w:val="24"/>
          <w:rtl/>
        </w:rPr>
        <w:t xml:space="preserve">. בהלכות המצריכות בעלות- אי אפשר לצאת ידי חובה בדבר שנגזל מגוי: </w:t>
      </w:r>
      <w:r w:rsidRPr="00017341">
        <w:rPr>
          <w:rFonts w:ascii="David" w:hAnsi="David" w:cs="David"/>
          <w:sz w:val="24"/>
          <w:szCs w:val="24"/>
          <w:rtl/>
        </w:rPr>
        <w:t>"צריך להזהר שלא יגזול אלו ד' מינין אפילו לעובד כוכבים</w:t>
      </w:r>
      <w:r w:rsidR="00C75F68">
        <w:rPr>
          <w:rFonts w:ascii="David" w:hAnsi="David" w:cs="David" w:hint="cs"/>
          <w:sz w:val="24"/>
          <w:szCs w:val="24"/>
          <w:rtl/>
        </w:rPr>
        <w:t>.</w:t>
      </w:r>
      <w:r w:rsidRPr="00017341">
        <w:rPr>
          <w:rFonts w:ascii="David" w:hAnsi="David" w:cs="David"/>
          <w:sz w:val="24"/>
          <w:szCs w:val="24"/>
          <w:rtl/>
        </w:rPr>
        <w:t xml:space="preserve"> ואף על גב דגזל עובד כוכבים שרי</w:t>
      </w:r>
      <w:r w:rsidR="00C75F68">
        <w:rPr>
          <w:rFonts w:ascii="David" w:hAnsi="David" w:cs="David" w:hint="cs"/>
          <w:sz w:val="24"/>
          <w:szCs w:val="24"/>
          <w:rtl/>
        </w:rPr>
        <w:t>,</w:t>
      </w:r>
      <w:r w:rsidRPr="00017341">
        <w:rPr>
          <w:rFonts w:ascii="David" w:hAnsi="David" w:cs="David"/>
          <w:sz w:val="24"/>
          <w:szCs w:val="24"/>
          <w:rtl/>
        </w:rPr>
        <w:t xml:space="preserve"> כל כמה דלא נפיק מרשות עובד כוכבים </w:t>
      </w:r>
      <w:r w:rsidRPr="00AD157A">
        <w:rPr>
          <w:rFonts w:ascii="David" w:hAnsi="David" w:cs="David"/>
          <w:b/>
          <w:bCs/>
          <w:sz w:val="24"/>
          <w:szCs w:val="24"/>
          <w:rtl/>
        </w:rPr>
        <w:t>לא מיקרי לכם</w:t>
      </w:r>
      <w:r>
        <w:rPr>
          <w:rStyle w:val="a6"/>
          <w:rFonts w:ascii="David" w:hAnsi="David" w:cs="David"/>
          <w:sz w:val="24"/>
          <w:szCs w:val="24"/>
          <w:rtl/>
        </w:rPr>
        <w:footnoteReference w:id="9"/>
      </w:r>
      <w:r w:rsidRPr="00017341">
        <w:rPr>
          <w:rFonts w:ascii="David" w:hAnsi="David" w:cs="David"/>
          <w:sz w:val="24"/>
          <w:szCs w:val="24"/>
          <w:rtl/>
        </w:rPr>
        <w:t>".</w:t>
      </w:r>
      <w:r w:rsidR="009F0D4C">
        <w:rPr>
          <w:rFonts w:asciiTheme="majorBidi" w:hAnsiTheme="majorBidi" w:cstheme="majorBidi" w:hint="cs"/>
          <w:sz w:val="24"/>
          <w:szCs w:val="24"/>
          <w:rtl/>
        </w:rPr>
        <w:t xml:space="preserve"> אמנם, הרמ"א פסק: </w:t>
      </w:r>
      <w:r w:rsidR="009F0D4C" w:rsidRPr="009F0D4C">
        <w:rPr>
          <w:rFonts w:asciiTheme="majorBidi" w:hAnsiTheme="majorBidi" w:cs="Guttman Yad-Brush" w:hint="cs"/>
          <w:sz w:val="18"/>
          <w:szCs w:val="18"/>
          <w:rtl/>
        </w:rPr>
        <w:t>"</w:t>
      </w:r>
      <w:r w:rsidR="009F0D4C" w:rsidRPr="009F0D4C">
        <w:rPr>
          <w:rFonts w:asciiTheme="majorBidi" w:hAnsiTheme="majorBidi" w:cs="Guttman Yad-Brush"/>
          <w:sz w:val="18"/>
          <w:szCs w:val="18"/>
          <w:rtl/>
        </w:rPr>
        <w:t xml:space="preserve">קדשה בגזל או גניבת עובדי כוכבים, הוי מקודשת דהא אינה צריכה להחזיר רק מכח קידוש השם </w:t>
      </w:r>
      <w:r w:rsidR="009F0D4C" w:rsidRPr="009F0D4C">
        <w:rPr>
          <w:rFonts w:asciiTheme="majorBidi" w:hAnsiTheme="majorBidi" w:cs="Guttman Yad-Brush"/>
          <w:sz w:val="16"/>
          <w:szCs w:val="16"/>
          <w:rtl/>
        </w:rPr>
        <w:t>(מהרי"ו סי' קל"ח</w:t>
      </w:r>
      <w:r w:rsidR="009F0D4C" w:rsidRPr="009F0D4C">
        <w:rPr>
          <w:rStyle w:val="a6"/>
          <w:rFonts w:asciiTheme="majorBidi" w:hAnsiTheme="majorBidi" w:cs="Guttman Yad-Brush"/>
          <w:sz w:val="16"/>
          <w:szCs w:val="16"/>
          <w:rtl/>
        </w:rPr>
        <w:footnoteReference w:id="10"/>
      </w:r>
      <w:r w:rsidR="009F0D4C" w:rsidRPr="009F0D4C">
        <w:rPr>
          <w:rFonts w:asciiTheme="majorBidi" w:hAnsiTheme="majorBidi" w:cs="Guttman Yad-Brush"/>
          <w:sz w:val="16"/>
          <w:szCs w:val="16"/>
          <w:rtl/>
        </w:rPr>
        <w:t>)</w:t>
      </w:r>
      <w:r w:rsidR="009F0D4C" w:rsidRPr="009F0D4C">
        <w:rPr>
          <w:rFonts w:asciiTheme="majorBidi" w:hAnsiTheme="majorBidi" w:cs="Guttman Yad-Brush" w:hint="cs"/>
          <w:sz w:val="16"/>
          <w:szCs w:val="16"/>
          <w:rtl/>
        </w:rPr>
        <w:t>"</w:t>
      </w:r>
      <w:r w:rsidR="009F0D4C" w:rsidRPr="009F0D4C">
        <w:rPr>
          <w:rFonts w:asciiTheme="majorBidi" w:hAnsiTheme="majorBidi" w:cs="Guttman Yad-Brush"/>
          <w:sz w:val="16"/>
          <w:szCs w:val="16"/>
          <w:rtl/>
        </w:rPr>
        <w:t>.</w:t>
      </w:r>
      <w:r w:rsidR="009F0D4C">
        <w:rPr>
          <w:rFonts w:asciiTheme="majorBidi" w:hAnsiTheme="majorBidi" w:cstheme="majorBidi" w:hint="cs"/>
          <w:sz w:val="24"/>
          <w:szCs w:val="24"/>
          <w:rtl/>
        </w:rPr>
        <w:t xml:space="preserve"> הגר"א</w:t>
      </w:r>
      <w:r w:rsidR="009F0D4C">
        <w:rPr>
          <w:rStyle w:val="a6"/>
          <w:rFonts w:asciiTheme="majorBidi" w:hAnsiTheme="majorBidi" w:cstheme="majorBidi"/>
          <w:sz w:val="24"/>
          <w:szCs w:val="24"/>
          <w:rtl/>
        </w:rPr>
        <w:footnoteReference w:id="11"/>
      </w:r>
      <w:r w:rsidR="009F0D4C">
        <w:rPr>
          <w:rFonts w:asciiTheme="majorBidi" w:hAnsiTheme="majorBidi" w:cstheme="majorBidi" w:hint="cs"/>
          <w:sz w:val="24"/>
          <w:szCs w:val="24"/>
          <w:rtl/>
        </w:rPr>
        <w:t xml:space="preserve"> העמיד זאת בהפקעת הלוואתו, שהרי גזל ממש אסור מן התורה. גם באבני מיל</w:t>
      </w:r>
      <w:r w:rsidR="00AD157A">
        <w:rPr>
          <w:rFonts w:asciiTheme="majorBidi" w:hAnsiTheme="majorBidi" w:cstheme="majorBidi" w:hint="cs"/>
          <w:sz w:val="24"/>
          <w:szCs w:val="24"/>
          <w:rtl/>
        </w:rPr>
        <w:t>ו</w:t>
      </w:r>
      <w:r w:rsidR="009F0D4C">
        <w:rPr>
          <w:rFonts w:asciiTheme="majorBidi" w:hAnsiTheme="majorBidi" w:cstheme="majorBidi" w:hint="cs"/>
          <w:sz w:val="24"/>
          <w:szCs w:val="24"/>
          <w:rtl/>
        </w:rPr>
        <w:t xml:space="preserve">אים הסתייג: </w:t>
      </w:r>
    </w:p>
    <w:p w14:paraId="4F4AF482" w14:textId="7F576620" w:rsidR="009F0D4C" w:rsidRPr="009F0D4C" w:rsidRDefault="009F0D4C" w:rsidP="009F0D4C">
      <w:pPr>
        <w:pStyle w:val="a3"/>
        <w:spacing w:after="0" w:line="360" w:lineRule="auto"/>
        <w:rPr>
          <w:rFonts w:asciiTheme="majorBidi" w:hAnsiTheme="majorBidi" w:cstheme="majorBidi"/>
          <w:sz w:val="24"/>
          <w:szCs w:val="24"/>
        </w:rPr>
      </w:pPr>
      <w:r w:rsidRPr="009F0D4C">
        <w:rPr>
          <w:rFonts w:ascii="David" w:hAnsi="David" w:cs="David"/>
          <w:sz w:val="24"/>
          <w:szCs w:val="24"/>
          <w:rtl/>
        </w:rPr>
        <w:t>"נראה דסובב כל התשובה אליביה דפוסקים דגזל עכו"ם אינו אלא מדרבנן</w:t>
      </w:r>
      <w:r w:rsidR="00AD157A">
        <w:rPr>
          <w:rFonts w:ascii="David" w:hAnsi="David" w:cs="David" w:hint="cs"/>
          <w:sz w:val="24"/>
          <w:szCs w:val="24"/>
          <w:rtl/>
        </w:rPr>
        <w:t>,</w:t>
      </w:r>
      <w:r w:rsidRPr="009F0D4C">
        <w:rPr>
          <w:rFonts w:ascii="David" w:hAnsi="David" w:cs="David"/>
          <w:sz w:val="24"/>
          <w:szCs w:val="24"/>
          <w:rtl/>
        </w:rPr>
        <w:t xml:space="preserve"> ובזה מחלק מוהרי"ו דשאני בזה מחמץ בפסח דאסור בהנאה</w:t>
      </w:r>
      <w:r w:rsidR="00AD157A">
        <w:rPr>
          <w:rFonts w:ascii="David" w:hAnsi="David" w:cs="David" w:hint="cs"/>
          <w:sz w:val="24"/>
          <w:szCs w:val="24"/>
          <w:rtl/>
        </w:rPr>
        <w:t>.</w:t>
      </w:r>
      <w:r w:rsidRPr="009F0D4C">
        <w:rPr>
          <w:rFonts w:ascii="David" w:hAnsi="David" w:cs="David"/>
          <w:sz w:val="24"/>
          <w:szCs w:val="24"/>
          <w:rtl/>
        </w:rPr>
        <w:t xml:space="preserve"> אבל בזה דמותר בהנאה אף על גב דאינו שלו מדרבנן</w:t>
      </w:r>
      <w:r w:rsidR="00AD157A">
        <w:rPr>
          <w:rFonts w:ascii="David" w:hAnsi="David" w:cs="David" w:hint="cs"/>
          <w:sz w:val="24"/>
          <w:szCs w:val="24"/>
          <w:rtl/>
        </w:rPr>
        <w:t>,</w:t>
      </w:r>
      <w:r w:rsidRPr="009F0D4C">
        <w:rPr>
          <w:rFonts w:ascii="David" w:hAnsi="David" w:cs="David"/>
          <w:sz w:val="24"/>
          <w:szCs w:val="24"/>
          <w:rtl/>
        </w:rPr>
        <w:t xml:space="preserve"> אפ"ה מקודשת</w:t>
      </w:r>
      <w:r w:rsidR="00AD157A">
        <w:rPr>
          <w:rFonts w:ascii="David" w:hAnsi="David" w:cs="David" w:hint="cs"/>
          <w:sz w:val="24"/>
          <w:szCs w:val="24"/>
          <w:rtl/>
        </w:rPr>
        <w:t xml:space="preserve">. </w:t>
      </w:r>
      <w:r w:rsidRPr="009F0D4C">
        <w:rPr>
          <w:rFonts w:ascii="David" w:hAnsi="David" w:cs="David"/>
          <w:sz w:val="24"/>
          <w:szCs w:val="24"/>
          <w:rtl/>
        </w:rPr>
        <w:t>וממילא ד</w:t>
      </w:r>
      <w:r w:rsidRPr="00AD157A">
        <w:rPr>
          <w:rFonts w:ascii="David" w:hAnsi="David" w:cs="David"/>
          <w:b/>
          <w:bCs/>
          <w:sz w:val="24"/>
          <w:szCs w:val="24"/>
          <w:rtl/>
        </w:rPr>
        <w:t>לפוסקים דגזילו מדאורייתא ודאי אינה מקודשת</w:t>
      </w:r>
      <w:r w:rsidRPr="009F0D4C">
        <w:rPr>
          <w:rFonts w:ascii="David" w:hAnsi="David" w:cs="David"/>
          <w:sz w:val="24"/>
          <w:szCs w:val="24"/>
          <w:rtl/>
        </w:rPr>
        <w:t xml:space="preserve">, אלא דהב"ש כתב כיון דלגבי לוקח בהיתרא אתי לידי' ליכא איסורא דאורייתא דהא עושק מעכו"ם אינו אלא מדרבנן כמ"ש בכס"מ </w:t>
      </w:r>
      <w:r w:rsidRPr="009F0D4C">
        <w:rPr>
          <w:rFonts w:ascii="David" w:hAnsi="David" w:cs="David"/>
          <w:sz w:val="18"/>
          <w:szCs w:val="18"/>
          <w:rtl/>
        </w:rPr>
        <w:t>ריש הל' גזילה</w:t>
      </w:r>
      <w:r w:rsidRPr="009F0D4C">
        <w:rPr>
          <w:rFonts w:ascii="David" w:hAnsi="David" w:cs="David"/>
          <w:sz w:val="24"/>
          <w:szCs w:val="24"/>
          <w:rtl/>
        </w:rPr>
        <w:t xml:space="preserve"> והטעם הואיל שבא לידו בהיתר.</w:t>
      </w:r>
      <w:r>
        <w:rPr>
          <w:rFonts w:ascii="David" w:hAnsi="David" w:cs="David" w:hint="cs"/>
          <w:sz w:val="24"/>
          <w:szCs w:val="24"/>
          <w:rtl/>
        </w:rPr>
        <w:t xml:space="preserve"> </w:t>
      </w:r>
      <w:r w:rsidRPr="009F0D4C">
        <w:rPr>
          <w:rFonts w:ascii="David" w:hAnsi="David" w:cs="David"/>
          <w:sz w:val="24"/>
          <w:szCs w:val="24"/>
          <w:rtl/>
        </w:rPr>
        <w:t xml:space="preserve">אמנם לפי מ"ש מוהרש"ל </w:t>
      </w:r>
      <w:r w:rsidRPr="009F0D4C">
        <w:rPr>
          <w:rFonts w:ascii="David" w:hAnsi="David" w:cs="David"/>
          <w:sz w:val="18"/>
          <w:szCs w:val="18"/>
          <w:rtl/>
        </w:rPr>
        <w:t>ביש"ש פ' הגוזל בתרא</w:t>
      </w:r>
      <w:r w:rsidRPr="009F0D4C">
        <w:rPr>
          <w:rFonts w:ascii="David" w:hAnsi="David" w:cs="David"/>
          <w:sz w:val="24"/>
          <w:szCs w:val="24"/>
          <w:rtl/>
        </w:rPr>
        <w:t xml:space="preserve"> דהרמב"ם ס"ל דגם הפקעת הלואתו אסור מן התורה</w:t>
      </w:r>
      <w:r w:rsidR="00AD157A">
        <w:rPr>
          <w:rFonts w:ascii="David" w:hAnsi="David" w:cs="David" w:hint="cs"/>
          <w:sz w:val="24"/>
          <w:szCs w:val="24"/>
          <w:rtl/>
        </w:rPr>
        <w:t xml:space="preserve">.. </w:t>
      </w:r>
      <w:r w:rsidRPr="009F0D4C">
        <w:rPr>
          <w:rFonts w:ascii="David" w:hAnsi="David" w:cs="David"/>
          <w:sz w:val="24"/>
          <w:szCs w:val="24"/>
          <w:rtl/>
        </w:rPr>
        <w:t>א"כ ה"ה גבי לוקח אף על גב דבהיתרא אתי לידי' אסור מן התורה</w:t>
      </w:r>
      <w:r>
        <w:rPr>
          <w:rStyle w:val="a6"/>
          <w:rFonts w:ascii="David" w:hAnsi="David" w:cs="David"/>
          <w:sz w:val="24"/>
          <w:szCs w:val="24"/>
          <w:rtl/>
        </w:rPr>
        <w:footnoteReference w:id="12"/>
      </w:r>
      <w:r>
        <w:rPr>
          <w:rFonts w:ascii="David" w:hAnsi="David" w:cs="David" w:hint="cs"/>
          <w:sz w:val="24"/>
          <w:szCs w:val="24"/>
          <w:rtl/>
        </w:rPr>
        <w:t>"</w:t>
      </w:r>
      <w:r w:rsidRPr="009F0D4C">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הרב גוסטמן סבור שבעלי התוספות והריטב"א חלקו על בעל היראים, והרמ"א הלך בעקבותיהם</w:t>
      </w:r>
      <w:r>
        <w:rPr>
          <w:rStyle w:val="a6"/>
          <w:rFonts w:asciiTheme="majorBidi" w:hAnsiTheme="majorBidi" w:cstheme="majorBidi"/>
          <w:sz w:val="24"/>
          <w:szCs w:val="24"/>
        </w:rPr>
        <w:footnoteReference w:id="13"/>
      </w:r>
      <w:r w:rsidR="00AD157A">
        <w:rPr>
          <w:rFonts w:asciiTheme="majorBidi" w:hAnsiTheme="majorBidi" w:cstheme="majorBidi" w:hint="cs"/>
          <w:sz w:val="24"/>
          <w:szCs w:val="24"/>
          <w:rtl/>
        </w:rPr>
        <w:t>.</w:t>
      </w:r>
    </w:p>
    <w:p w14:paraId="00693DDE" w14:textId="460F0C21" w:rsidR="00017341" w:rsidRDefault="00017341" w:rsidP="00017341">
      <w:pPr>
        <w:pStyle w:val="a3"/>
        <w:numPr>
          <w:ilvl w:val="0"/>
          <w:numId w:val="2"/>
        </w:numPr>
        <w:spacing w:after="0" w:line="360" w:lineRule="auto"/>
        <w:rPr>
          <w:rFonts w:ascii="David" w:hAnsi="David" w:cs="David"/>
          <w:sz w:val="24"/>
          <w:szCs w:val="24"/>
        </w:rPr>
      </w:pPr>
      <w:r w:rsidRPr="00017341">
        <w:rPr>
          <w:rFonts w:asciiTheme="majorBidi" w:hAnsiTheme="majorBidi" w:cs="Times New Roman"/>
          <w:sz w:val="24"/>
          <w:szCs w:val="24"/>
          <w:rtl/>
        </w:rPr>
        <w:t xml:space="preserve"> </w:t>
      </w:r>
      <w:r w:rsidRPr="00017341">
        <w:rPr>
          <w:rFonts w:ascii="David" w:hAnsi="David" w:cs="David"/>
          <w:sz w:val="24"/>
          <w:szCs w:val="24"/>
          <w:rtl/>
        </w:rPr>
        <w:t xml:space="preserve">"נ"ל לכאורה אף להסוברים גזלת כותי דרבנן, מ"מ </w:t>
      </w:r>
      <w:r w:rsidRPr="00017341">
        <w:rPr>
          <w:rFonts w:ascii="David" w:hAnsi="David" w:cs="David"/>
          <w:b/>
          <w:bCs/>
          <w:sz w:val="24"/>
          <w:szCs w:val="24"/>
          <w:rtl/>
        </w:rPr>
        <w:t>גנבת עכו"ם אפשר מה"ת אסור</w:t>
      </w:r>
      <w:r w:rsidRPr="00017341">
        <w:rPr>
          <w:rFonts w:ascii="David" w:hAnsi="David" w:cs="David"/>
          <w:sz w:val="24"/>
          <w:szCs w:val="24"/>
          <w:rtl/>
        </w:rPr>
        <w:t xml:space="preserve"> להסוברים דאף ע"מ למיקט</w:t>
      </w:r>
      <w:r w:rsidR="00C75F68">
        <w:rPr>
          <w:rFonts w:ascii="David" w:hAnsi="David" w:cs="David" w:hint="cs"/>
          <w:sz w:val="24"/>
          <w:szCs w:val="24"/>
          <w:rtl/>
        </w:rPr>
        <w:t>,</w:t>
      </w:r>
      <w:r w:rsidRPr="00017341">
        <w:rPr>
          <w:rFonts w:ascii="David" w:hAnsi="David" w:cs="David"/>
          <w:sz w:val="24"/>
          <w:szCs w:val="24"/>
          <w:rtl/>
        </w:rPr>
        <w:t xml:space="preserve"> ואף שלו אסור לגנוב מה"ת.  מזה נראה דהתורה לא אסרה זה מדין ממון לבד</w:t>
      </w:r>
      <w:r w:rsidR="00C75F68">
        <w:rPr>
          <w:rFonts w:ascii="David" w:hAnsi="David" w:cs="David" w:hint="cs"/>
          <w:sz w:val="24"/>
          <w:szCs w:val="24"/>
          <w:rtl/>
        </w:rPr>
        <w:t>,</w:t>
      </w:r>
      <w:r w:rsidRPr="00017341">
        <w:rPr>
          <w:rFonts w:ascii="David" w:hAnsi="David" w:cs="David"/>
          <w:sz w:val="24"/>
          <w:szCs w:val="24"/>
          <w:rtl/>
        </w:rPr>
        <w:t xml:space="preserve"> רק </w:t>
      </w:r>
      <w:r w:rsidRPr="00017341">
        <w:rPr>
          <w:rFonts w:ascii="David" w:hAnsi="David" w:cs="David"/>
          <w:b/>
          <w:bCs/>
          <w:sz w:val="24"/>
          <w:szCs w:val="24"/>
          <w:rtl/>
        </w:rPr>
        <w:t>המדה הגרועה הזאת בעצמה התורה אסרה</w:t>
      </w:r>
      <w:r w:rsidRPr="00017341">
        <w:rPr>
          <w:rFonts w:ascii="David" w:hAnsi="David" w:cs="David"/>
          <w:sz w:val="24"/>
          <w:szCs w:val="24"/>
          <w:rtl/>
        </w:rPr>
        <w:t>. א"כ, בשלמ' גזל דהוא רק דהתורה אסרה ממון חבירו, א"כ אפשר דעכו"ם</w:t>
      </w:r>
      <w:r w:rsidR="00430CFD">
        <w:rPr>
          <w:rFonts w:ascii="David" w:hAnsi="David" w:cs="David" w:hint="cs"/>
          <w:sz w:val="24"/>
          <w:szCs w:val="24"/>
          <w:rtl/>
        </w:rPr>
        <w:t xml:space="preserve"> </w:t>
      </w:r>
      <w:r w:rsidRPr="00017341">
        <w:rPr>
          <w:rFonts w:ascii="David" w:hAnsi="David" w:cs="David"/>
          <w:sz w:val="24"/>
          <w:szCs w:val="24"/>
          <w:rtl/>
        </w:rPr>
        <w:lastRenderedPageBreak/>
        <w:t>לא אסרה כי הממון שלו הפקר לאותן שיטות. אבל גנבה, דאף שלו אסור לגנוב כדי שלא ילמוד מדה הגרועה הזאת</w:t>
      </w:r>
      <w:r w:rsidR="00AD157A">
        <w:rPr>
          <w:rStyle w:val="a6"/>
          <w:rFonts w:ascii="David" w:hAnsi="David" w:cs="David"/>
          <w:sz w:val="24"/>
          <w:szCs w:val="24"/>
          <w:rtl/>
        </w:rPr>
        <w:footnoteReference w:id="14"/>
      </w:r>
      <w:r w:rsidRPr="00017341">
        <w:rPr>
          <w:rFonts w:ascii="David" w:hAnsi="David" w:cs="David"/>
          <w:sz w:val="24"/>
          <w:szCs w:val="24"/>
          <w:rtl/>
        </w:rPr>
        <w:t>- א"כ אף לעכו"ם אסור כדי שלא ירגיל בזה וע"ז הקפידה התורה</w:t>
      </w:r>
      <w:r w:rsidRPr="00017341">
        <w:rPr>
          <w:rStyle w:val="a6"/>
          <w:rFonts w:ascii="David" w:hAnsi="David" w:cs="David"/>
          <w:sz w:val="24"/>
          <w:szCs w:val="24"/>
          <w:rtl/>
        </w:rPr>
        <w:footnoteReference w:id="15"/>
      </w:r>
      <w:r w:rsidRPr="00017341">
        <w:rPr>
          <w:rFonts w:ascii="David" w:hAnsi="David" w:cs="David"/>
          <w:sz w:val="24"/>
          <w:szCs w:val="24"/>
          <w:rtl/>
        </w:rPr>
        <w:t>".</w:t>
      </w:r>
    </w:p>
    <w:p w14:paraId="56812393" w14:textId="016A73D5" w:rsidR="007C6D62" w:rsidRPr="007C6D62" w:rsidRDefault="007C6D62" w:rsidP="007C6D62">
      <w:pPr>
        <w:pStyle w:val="a3"/>
        <w:numPr>
          <w:ilvl w:val="0"/>
          <w:numId w:val="2"/>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יש לדון בזהות הגוי שאסור לגוזלו. לאחר שפסק כאן ש</w:t>
      </w:r>
      <w:r w:rsidR="00FC720E">
        <w:rPr>
          <w:rFonts w:asciiTheme="majorBidi" w:hAnsiTheme="majorBidi" w:cstheme="majorBidi" w:hint="cs"/>
          <w:sz w:val="24"/>
          <w:szCs w:val="24"/>
          <w:rtl/>
        </w:rPr>
        <w:t>גזל הגוי</w:t>
      </w:r>
      <w:r>
        <w:rPr>
          <w:rFonts w:asciiTheme="majorBidi" w:hAnsiTheme="majorBidi" w:cstheme="majorBidi" w:hint="cs"/>
          <w:sz w:val="24"/>
          <w:szCs w:val="24"/>
          <w:rtl/>
        </w:rPr>
        <w:t xml:space="preserve"> אסור, כתב כאן המאירי: </w:t>
      </w:r>
      <w:r>
        <w:rPr>
          <w:rFonts w:asciiTheme="majorBidi" w:hAnsiTheme="majorBidi" w:cs="Times New Roman" w:hint="cs"/>
          <w:sz w:val="24"/>
          <w:szCs w:val="24"/>
          <w:rtl/>
        </w:rPr>
        <w:t xml:space="preserve"> </w:t>
      </w:r>
    </w:p>
    <w:p w14:paraId="4F6305CA" w14:textId="73350E6C" w:rsidR="00C17FA9" w:rsidRPr="00430CFD" w:rsidRDefault="007C6D62" w:rsidP="00430CFD">
      <w:pPr>
        <w:pStyle w:val="a3"/>
        <w:spacing w:after="0" w:line="360" w:lineRule="auto"/>
        <w:rPr>
          <w:rFonts w:asciiTheme="majorBidi" w:hAnsiTheme="majorBidi" w:cstheme="majorBidi"/>
          <w:sz w:val="24"/>
          <w:szCs w:val="24"/>
          <w:rtl/>
        </w:rPr>
      </w:pPr>
      <w:r w:rsidRPr="007C6D62">
        <w:rPr>
          <w:rFonts w:ascii="David" w:hAnsi="David" w:cs="David"/>
          <w:sz w:val="24"/>
          <w:szCs w:val="24"/>
          <w:rtl/>
        </w:rPr>
        <w:t>"כל שהוא מעממין הגדורים בדרכי הדת ועובדי האלהות על איזה צד אף על פי שאמונתם רחוקה מאמונתנו אינם בכלל זה</w:t>
      </w:r>
      <w:r>
        <w:rPr>
          <w:rFonts w:ascii="David" w:hAnsi="David" w:cs="David" w:hint="cs"/>
          <w:sz w:val="24"/>
          <w:szCs w:val="24"/>
          <w:rtl/>
        </w:rPr>
        <w:t xml:space="preserve">. </w:t>
      </w:r>
      <w:r w:rsidRPr="007C6D62">
        <w:rPr>
          <w:rFonts w:ascii="David" w:hAnsi="David" w:cs="David"/>
          <w:sz w:val="24"/>
          <w:szCs w:val="24"/>
          <w:rtl/>
        </w:rPr>
        <w:t>אלא הרי הם כישראל גמור לדברים אלו אף באבדה ואף בטעות ולכל שאר הדברים בלא שום חלוק".</w:t>
      </w:r>
      <w:r>
        <w:rPr>
          <w:rFonts w:ascii="David" w:hAnsi="David" w:cs="David" w:hint="cs"/>
          <w:sz w:val="24"/>
          <w:szCs w:val="24"/>
          <w:rtl/>
        </w:rPr>
        <w:t xml:space="preserve"> </w:t>
      </w:r>
      <w:r>
        <w:rPr>
          <w:rFonts w:asciiTheme="majorBidi" w:hAnsiTheme="majorBidi" w:cstheme="majorBidi" w:hint="cs"/>
          <w:sz w:val="24"/>
          <w:szCs w:val="24"/>
          <w:rtl/>
        </w:rPr>
        <w:t xml:space="preserve">אמירות כגון אלו קשה לדעת כמה כפייה </w:t>
      </w:r>
      <w:r w:rsidR="00430CFD">
        <w:rPr>
          <w:rFonts w:asciiTheme="majorBidi" w:hAnsiTheme="majorBidi" w:cstheme="majorBidi" w:hint="cs"/>
          <w:sz w:val="24"/>
          <w:szCs w:val="24"/>
          <w:rtl/>
        </w:rPr>
        <w:t xml:space="preserve">מצד השלטון </w:t>
      </w:r>
      <w:r>
        <w:rPr>
          <w:rFonts w:asciiTheme="majorBidi" w:hAnsiTheme="majorBidi" w:cstheme="majorBidi" w:hint="cs"/>
          <w:sz w:val="24"/>
          <w:szCs w:val="24"/>
          <w:rtl/>
        </w:rPr>
        <w:t xml:space="preserve">הייתה בכתיבתם. הב"י חולק בדבר, שכתב לגבי אבידת גוי: </w:t>
      </w:r>
      <w:r w:rsidRPr="00430CFD">
        <w:rPr>
          <w:rFonts w:ascii="David" w:hAnsi="David" w:cs="David"/>
          <w:sz w:val="24"/>
          <w:szCs w:val="24"/>
          <w:rtl/>
        </w:rPr>
        <w:t>"מילתא דפשיטא שכל הגוים שוים בזה,בין עובדי עבודה זרה בין שאינם עובדים, דהא לאו אחיך נינהו. ורבינו שכתב עובדי עבודה זרה- לאו דוקא. ואיפשר דמשום דבארץ אדום היו המינים מבאישים ריחם של ישראל בעיני המלכים מדין זה וכיוצא בו, וחכמי ישראל היו משיבים</w:t>
      </w:r>
      <w:r w:rsidR="00C75F68" w:rsidRPr="00430CFD">
        <w:rPr>
          <w:rFonts w:ascii="David" w:hAnsi="David" w:cs="David" w:hint="cs"/>
          <w:sz w:val="24"/>
          <w:szCs w:val="24"/>
          <w:rtl/>
        </w:rPr>
        <w:t>,</w:t>
      </w:r>
      <w:r w:rsidRPr="00430CFD">
        <w:rPr>
          <w:rFonts w:ascii="David" w:hAnsi="David" w:cs="David"/>
          <w:sz w:val="24"/>
          <w:szCs w:val="24"/>
          <w:rtl/>
        </w:rPr>
        <w:t xml:space="preserve"> דלא נאמרו דברים הללו אלא בגוים שבזמן חכמי התלמוד שהיו עובדי הצלמים ולא היו מודים בבורא עולם ולהם קראו עובדי עבודה זרה, אבל גוים שבזמן הזה שמודים בבורא עולם- אינם בכלל עובדי עבודה זרה לענין דין זה וכיוצא בו. ועוד יש לומר דנקט האי לישנא לכלול </w:t>
      </w:r>
      <w:r w:rsidRPr="00430CFD">
        <w:rPr>
          <w:rFonts w:ascii="David" w:hAnsi="David" w:cs="David"/>
          <w:b/>
          <w:bCs/>
          <w:sz w:val="24"/>
          <w:szCs w:val="24"/>
          <w:rtl/>
        </w:rPr>
        <w:t>ישראל</w:t>
      </w:r>
      <w:r w:rsidRPr="00430CFD">
        <w:rPr>
          <w:rFonts w:ascii="David" w:hAnsi="David" w:cs="David"/>
          <w:sz w:val="24"/>
          <w:szCs w:val="24"/>
          <w:rtl/>
        </w:rPr>
        <w:t xml:space="preserve"> שהוא עובד עבודה זרה שאבידתו מותרת כמו של גוי</w:t>
      </w:r>
      <w:r w:rsidRPr="007C6D62">
        <w:rPr>
          <w:rStyle w:val="a6"/>
          <w:rFonts w:ascii="David" w:hAnsi="David" w:cs="David"/>
          <w:sz w:val="24"/>
          <w:szCs w:val="24"/>
          <w:rtl/>
        </w:rPr>
        <w:footnoteReference w:id="16"/>
      </w:r>
      <w:r w:rsidRPr="00430CFD">
        <w:rPr>
          <w:rFonts w:ascii="David" w:hAnsi="David" w:cs="David"/>
          <w:sz w:val="24"/>
          <w:szCs w:val="24"/>
          <w:rtl/>
        </w:rPr>
        <w:t>".</w:t>
      </w:r>
    </w:p>
    <w:p w14:paraId="4782DE8A" w14:textId="00EFBCE2" w:rsidR="0081383D" w:rsidRPr="00430CFD" w:rsidRDefault="001F1DC1" w:rsidP="00430CFD">
      <w:pPr>
        <w:pStyle w:val="a3"/>
        <w:numPr>
          <w:ilvl w:val="0"/>
          <w:numId w:val="1"/>
        </w:numPr>
        <w:spacing w:after="0" w:line="360" w:lineRule="auto"/>
        <w:rPr>
          <w:rFonts w:asciiTheme="majorBidi" w:hAnsiTheme="majorBidi" w:cstheme="majorBidi"/>
          <w:b/>
          <w:bCs/>
          <w:sz w:val="24"/>
          <w:szCs w:val="24"/>
          <w:rtl/>
        </w:rPr>
      </w:pPr>
      <w:r w:rsidRPr="00D0709E">
        <w:rPr>
          <w:rFonts w:asciiTheme="majorBidi" w:hAnsiTheme="majorBidi" w:cstheme="majorBidi" w:hint="cs"/>
          <w:b/>
          <w:bCs/>
          <w:sz w:val="24"/>
          <w:szCs w:val="24"/>
          <w:rtl/>
        </w:rPr>
        <w:t>שיטות האוסרים</w:t>
      </w:r>
      <w:r w:rsidR="00430CFD">
        <w:rPr>
          <w:rFonts w:asciiTheme="majorBidi" w:hAnsiTheme="majorBidi" w:cstheme="majorBidi" w:hint="cs"/>
          <w:b/>
          <w:bCs/>
          <w:sz w:val="24"/>
          <w:szCs w:val="24"/>
          <w:rtl/>
        </w:rPr>
        <w:t xml:space="preserve">   </w:t>
      </w:r>
      <w:r w:rsidRPr="00430CFD">
        <w:rPr>
          <w:rFonts w:asciiTheme="majorBidi" w:hAnsiTheme="majorBidi" w:cstheme="majorBidi" w:hint="cs"/>
          <w:sz w:val="24"/>
          <w:szCs w:val="24"/>
          <w:rtl/>
        </w:rPr>
        <w:t xml:space="preserve">רבי עקיבא אוסר </w:t>
      </w:r>
      <w:r w:rsidR="00FC720E" w:rsidRPr="00430CFD">
        <w:rPr>
          <w:rFonts w:asciiTheme="majorBidi" w:hAnsiTheme="majorBidi" w:cstheme="majorBidi" w:hint="cs"/>
          <w:sz w:val="24"/>
          <w:szCs w:val="24"/>
          <w:rtl/>
        </w:rPr>
        <w:t>גזל הגוי</w:t>
      </w:r>
      <w:r w:rsidRPr="00430CFD">
        <w:rPr>
          <w:rFonts w:asciiTheme="majorBidi" w:hAnsiTheme="majorBidi" w:cstheme="majorBidi" w:hint="cs"/>
          <w:sz w:val="24"/>
          <w:szCs w:val="24"/>
          <w:rtl/>
        </w:rPr>
        <w:t xml:space="preserve"> על סמך הפסוק 'וחשב עם קונהו', האוסר להונות גוי שקנה עבד</w:t>
      </w:r>
      <w:r w:rsidR="00430CFD">
        <w:rPr>
          <w:rFonts w:asciiTheme="majorBidi" w:hAnsiTheme="majorBidi" w:cstheme="majorBidi" w:hint="cs"/>
          <w:sz w:val="24"/>
          <w:szCs w:val="24"/>
          <w:rtl/>
        </w:rPr>
        <w:t xml:space="preserve"> </w:t>
      </w:r>
      <w:r w:rsidRPr="00430CFD">
        <w:rPr>
          <w:rFonts w:asciiTheme="majorBidi" w:hAnsiTheme="majorBidi" w:cstheme="majorBidi" w:hint="cs"/>
          <w:sz w:val="24"/>
          <w:szCs w:val="24"/>
          <w:rtl/>
        </w:rPr>
        <w:t xml:space="preserve">יהודי. רב הונא למד זאת מ'ואכלת את כל העמים' </w:t>
      </w:r>
      <w:r w:rsidRPr="00430CFD">
        <w:rPr>
          <w:rFonts w:asciiTheme="majorBidi" w:hAnsiTheme="majorBidi" w:cstheme="majorBidi"/>
          <w:sz w:val="24"/>
          <w:szCs w:val="24"/>
          <w:rtl/>
        </w:rPr>
        <w:t>–</w:t>
      </w:r>
      <w:r w:rsidRPr="00430CFD">
        <w:rPr>
          <w:rFonts w:asciiTheme="majorBidi" w:hAnsiTheme="majorBidi" w:cstheme="majorBidi" w:hint="cs"/>
          <w:sz w:val="24"/>
          <w:szCs w:val="24"/>
          <w:rtl/>
        </w:rPr>
        <w:t xml:space="preserve"> למעט </w:t>
      </w:r>
      <w:r w:rsidR="00EE66A2" w:rsidRPr="00430CFD">
        <w:rPr>
          <w:rFonts w:asciiTheme="majorBidi" w:hAnsiTheme="majorBidi" w:cstheme="majorBidi" w:hint="cs"/>
          <w:sz w:val="24"/>
          <w:szCs w:val="24"/>
          <w:rtl/>
        </w:rPr>
        <w:t>זמן מלחמה</w:t>
      </w:r>
      <w:r w:rsidR="00EE66A2">
        <w:rPr>
          <w:rStyle w:val="a6"/>
          <w:rFonts w:asciiTheme="majorBidi" w:hAnsiTheme="majorBidi" w:cstheme="majorBidi"/>
          <w:sz w:val="24"/>
          <w:szCs w:val="24"/>
          <w:rtl/>
        </w:rPr>
        <w:footnoteReference w:id="17"/>
      </w:r>
      <w:r w:rsidR="00EE66A2" w:rsidRPr="00430CFD">
        <w:rPr>
          <w:rFonts w:asciiTheme="majorBidi" w:hAnsiTheme="majorBidi" w:cstheme="majorBidi" w:hint="cs"/>
          <w:sz w:val="24"/>
          <w:szCs w:val="24"/>
          <w:rtl/>
        </w:rPr>
        <w:t>.  בשיטה מקובצת תוהה כיצד רב הונא חולק על רבי עקיבא, ומציע בשם הרא"ש צריכותא לשני הלימודים:</w:t>
      </w:r>
      <w:r w:rsidR="00EE66A2" w:rsidRPr="00EE66A2">
        <w:rPr>
          <w:rtl/>
        </w:rPr>
        <w:t xml:space="preserve"> </w:t>
      </w:r>
      <w:r w:rsidR="00EE66A2" w:rsidRPr="00430CFD">
        <w:rPr>
          <w:rFonts w:asciiTheme="majorBidi" w:hAnsiTheme="majorBidi" w:cs="Times New Roman" w:hint="cs"/>
          <w:sz w:val="24"/>
          <w:szCs w:val="24"/>
          <w:rtl/>
        </w:rPr>
        <w:t xml:space="preserve"> </w:t>
      </w:r>
      <w:r w:rsidR="00F40B00" w:rsidRPr="00430CFD">
        <w:rPr>
          <w:rFonts w:ascii="David" w:hAnsi="David" w:cs="David" w:hint="cs"/>
          <w:sz w:val="24"/>
          <w:szCs w:val="24"/>
          <w:rtl/>
        </w:rPr>
        <w:t>"</w:t>
      </w:r>
      <w:r w:rsidR="00EE66A2" w:rsidRPr="00430CFD">
        <w:rPr>
          <w:rFonts w:ascii="David" w:hAnsi="David" w:cs="David"/>
          <w:sz w:val="24"/>
          <w:szCs w:val="24"/>
          <w:rtl/>
        </w:rPr>
        <w:t>דאי לא כתיב אלא קרא דלעיל, הוה אמינא כיון שהגוי קנה העבד מדעתו והאמין לו שיעבוד עמו עד שנת היובל ולא יברח ולא ישמט ממנו קודם זמנו, אם היה נשמט ממנו היה חילול השם גדול בדבר. אבל גבי גזל דעלמא אם בא ישראל וחטף מיד הגוי שלא האמינו מעולם שרי, קמשמע לן. ואי לא כתיב אלא האי קרא הוה אמינא הני מילי שחטף בהדיא מידו, אבל עבד עברי לא מחזי כולי האי גזל אלא בהפקעת מלוה בעלמא קמשמע לן".</w:t>
      </w:r>
      <w:r w:rsidR="0081383D" w:rsidRPr="00430CFD">
        <w:rPr>
          <w:rFonts w:ascii="David" w:hAnsi="David" w:cs="David" w:hint="cs"/>
          <w:sz w:val="24"/>
          <w:szCs w:val="24"/>
          <w:rtl/>
        </w:rPr>
        <w:t xml:space="preserve"> </w:t>
      </w:r>
      <w:r w:rsidR="00EE66A2" w:rsidRPr="00430CFD">
        <w:rPr>
          <w:rFonts w:asciiTheme="majorBidi" w:hAnsiTheme="majorBidi" w:cstheme="majorBidi"/>
          <w:sz w:val="24"/>
          <w:szCs w:val="24"/>
          <w:rtl/>
        </w:rPr>
        <w:t>אולם הרמ"ה</w:t>
      </w:r>
      <w:r w:rsidR="00EE66A2">
        <w:rPr>
          <w:rStyle w:val="a6"/>
          <w:rFonts w:asciiTheme="majorBidi" w:hAnsiTheme="majorBidi" w:cstheme="majorBidi"/>
          <w:sz w:val="24"/>
          <w:szCs w:val="24"/>
          <w:rtl/>
        </w:rPr>
        <w:footnoteReference w:id="18"/>
      </w:r>
      <w:r w:rsidR="00EE66A2" w:rsidRPr="00430CFD">
        <w:rPr>
          <w:rFonts w:asciiTheme="majorBidi" w:hAnsiTheme="majorBidi" w:cstheme="majorBidi" w:hint="cs"/>
          <w:sz w:val="24"/>
          <w:szCs w:val="24"/>
          <w:rtl/>
        </w:rPr>
        <w:t xml:space="preserve"> סבור שמקור הלימוד יוצר מחלוקת: </w:t>
      </w:r>
      <w:r w:rsidR="00EE66A2" w:rsidRPr="00430CFD">
        <w:rPr>
          <w:rFonts w:ascii="David" w:hAnsi="David" w:cs="David" w:hint="cs"/>
          <w:sz w:val="24"/>
          <w:szCs w:val="24"/>
          <w:rtl/>
        </w:rPr>
        <w:t>"</w:t>
      </w:r>
      <w:r w:rsidR="00EE66A2" w:rsidRPr="00430CFD">
        <w:rPr>
          <w:rFonts w:ascii="David" w:hAnsi="David" w:cs="David"/>
          <w:sz w:val="24"/>
          <w:szCs w:val="24"/>
          <w:rtl/>
        </w:rPr>
        <w:t xml:space="preserve">רב הונא אמר רב </w:t>
      </w:r>
      <w:r w:rsidR="00EE66A2" w:rsidRPr="00430CFD">
        <w:rPr>
          <w:rFonts w:ascii="David" w:hAnsi="David" w:cs="David"/>
          <w:b/>
          <w:bCs/>
          <w:sz w:val="24"/>
          <w:szCs w:val="24"/>
          <w:rtl/>
        </w:rPr>
        <w:t>לית להו הא דרבי עקיבא</w:t>
      </w:r>
      <w:r w:rsidR="00EE66A2" w:rsidRPr="00430CFD">
        <w:rPr>
          <w:rFonts w:ascii="David" w:hAnsi="David" w:cs="David" w:hint="cs"/>
          <w:b/>
          <w:bCs/>
          <w:sz w:val="24"/>
          <w:szCs w:val="24"/>
          <w:rtl/>
        </w:rPr>
        <w:t>,</w:t>
      </w:r>
      <w:r w:rsidR="00EE66A2" w:rsidRPr="00430CFD">
        <w:rPr>
          <w:rFonts w:ascii="David" w:hAnsi="David" w:cs="David"/>
          <w:b/>
          <w:bCs/>
          <w:sz w:val="24"/>
          <w:szCs w:val="24"/>
          <w:rtl/>
        </w:rPr>
        <w:t xml:space="preserve"> </w:t>
      </w:r>
      <w:r w:rsidR="00EE66A2" w:rsidRPr="00430CFD">
        <w:rPr>
          <w:rFonts w:ascii="David" w:hAnsi="David" w:cs="David"/>
          <w:sz w:val="24"/>
          <w:szCs w:val="24"/>
          <w:rtl/>
        </w:rPr>
        <w:t>דהא אינהו לא קא אסרי אלא בזמן שאין מסורין בידך</w:t>
      </w:r>
      <w:r w:rsidR="00EE66A2" w:rsidRPr="00430CFD">
        <w:rPr>
          <w:rFonts w:ascii="David" w:hAnsi="David" w:cs="David" w:hint="cs"/>
          <w:sz w:val="24"/>
          <w:szCs w:val="24"/>
          <w:rtl/>
        </w:rPr>
        <w:t>"</w:t>
      </w:r>
      <w:r w:rsidR="00EE66A2" w:rsidRPr="00430CFD">
        <w:rPr>
          <w:rFonts w:ascii="David" w:hAnsi="David" w:cs="David"/>
          <w:sz w:val="24"/>
          <w:szCs w:val="24"/>
          <w:rtl/>
        </w:rPr>
        <w:t>.</w:t>
      </w:r>
      <w:r w:rsidR="00EE66A2" w:rsidRPr="00430CFD">
        <w:rPr>
          <w:rFonts w:asciiTheme="majorBidi" w:hAnsiTheme="majorBidi" w:cstheme="majorBidi" w:hint="cs"/>
          <w:sz w:val="24"/>
          <w:szCs w:val="24"/>
          <w:rtl/>
        </w:rPr>
        <w:t xml:space="preserve"> כמו כן, פדיונו של עבד עברי דומה להפקעת הלוואה שמותרת לדעת רב אשי. </w:t>
      </w:r>
      <w:r w:rsidR="00FC720E" w:rsidRPr="00430CFD">
        <w:rPr>
          <w:rFonts w:asciiTheme="majorBidi" w:hAnsiTheme="majorBidi" w:cstheme="majorBidi" w:hint="cs"/>
          <w:sz w:val="24"/>
          <w:szCs w:val="24"/>
          <w:rtl/>
        </w:rPr>
        <w:t xml:space="preserve">        </w:t>
      </w:r>
      <w:r w:rsidR="0081383D" w:rsidRPr="00430CFD">
        <w:rPr>
          <w:rFonts w:asciiTheme="majorBidi" w:hAnsiTheme="majorBidi" w:cstheme="majorBidi"/>
          <w:sz w:val="24"/>
          <w:szCs w:val="24"/>
          <w:rtl/>
        </w:rPr>
        <w:t>היות שמדובר בלימוד מפסוקים, מסתבר שהציווי הוא מן התורה</w:t>
      </w:r>
      <w:r w:rsidR="0081383D" w:rsidRPr="00430CFD">
        <w:rPr>
          <w:rFonts w:asciiTheme="majorBidi" w:hAnsiTheme="majorBidi" w:cstheme="majorBidi" w:hint="cs"/>
          <w:sz w:val="24"/>
          <w:szCs w:val="24"/>
          <w:rtl/>
        </w:rPr>
        <w:t>. ראיות לדבר:</w:t>
      </w:r>
    </w:p>
    <w:p w14:paraId="2814DF41" w14:textId="2799DC18" w:rsidR="0081383D" w:rsidRPr="00430CFD" w:rsidRDefault="0081383D" w:rsidP="00430CFD">
      <w:pPr>
        <w:spacing w:after="0" w:line="360" w:lineRule="auto"/>
        <w:rPr>
          <w:rFonts w:asciiTheme="majorBidi" w:hAnsiTheme="majorBidi" w:cstheme="majorBidi"/>
          <w:sz w:val="24"/>
          <w:szCs w:val="24"/>
          <w:rtl/>
        </w:rPr>
      </w:pPr>
      <w:r>
        <w:rPr>
          <w:rFonts w:asciiTheme="majorBidi" w:hAnsiTheme="majorBidi" w:cstheme="majorBidi" w:hint="cs"/>
          <w:sz w:val="24"/>
          <w:szCs w:val="24"/>
          <w:rtl/>
        </w:rPr>
        <w:t>1.כך עולה מדברי התוספות</w:t>
      </w:r>
      <w:r>
        <w:rPr>
          <w:rStyle w:val="a6"/>
          <w:rFonts w:asciiTheme="majorBidi" w:hAnsiTheme="majorBidi" w:cstheme="majorBidi"/>
          <w:sz w:val="24"/>
          <w:szCs w:val="24"/>
          <w:rtl/>
        </w:rPr>
        <w:footnoteReference w:id="19"/>
      </w:r>
      <w:r>
        <w:rPr>
          <w:rFonts w:asciiTheme="majorBidi" w:hAnsiTheme="majorBidi" w:cstheme="majorBidi" w:hint="cs"/>
          <w:sz w:val="24"/>
          <w:szCs w:val="24"/>
          <w:rtl/>
        </w:rPr>
        <w:t xml:space="preserve"> המחפשים לימוד אלטרנטיבי מהפסוק לסובר ש</w:t>
      </w:r>
      <w:r w:rsidR="00FC720E">
        <w:rPr>
          <w:rFonts w:asciiTheme="majorBidi" w:hAnsiTheme="majorBidi" w:cstheme="majorBidi" w:hint="cs"/>
          <w:sz w:val="24"/>
          <w:szCs w:val="24"/>
          <w:rtl/>
        </w:rPr>
        <w:t>גזל הגוי</w:t>
      </w:r>
      <w:r>
        <w:rPr>
          <w:rFonts w:asciiTheme="majorBidi" w:hAnsiTheme="majorBidi" w:cstheme="majorBidi" w:hint="cs"/>
          <w:sz w:val="24"/>
          <w:szCs w:val="24"/>
          <w:rtl/>
        </w:rPr>
        <w:t xml:space="preserve"> מותר. לפיכך, הגוזל גוי במזיד פסול לעדות</w:t>
      </w:r>
      <w:r>
        <w:rPr>
          <w:rStyle w:val="a6"/>
          <w:rFonts w:asciiTheme="majorBidi" w:hAnsiTheme="majorBidi" w:cstheme="majorBidi"/>
          <w:sz w:val="24"/>
          <w:szCs w:val="24"/>
          <w:rtl/>
        </w:rPr>
        <w:footnoteReference w:id="20"/>
      </w:r>
      <w:r>
        <w:rPr>
          <w:rFonts w:asciiTheme="majorBidi" w:hAnsiTheme="majorBidi" w:cstheme="majorBidi" w:hint="cs"/>
          <w:sz w:val="24"/>
          <w:szCs w:val="24"/>
          <w:rtl/>
        </w:rPr>
        <w:t>.</w:t>
      </w:r>
      <w:r w:rsidR="00430CFD">
        <w:rPr>
          <w:rFonts w:asciiTheme="majorBidi" w:hAnsiTheme="majorBidi" w:cstheme="majorBidi" w:hint="cs"/>
          <w:sz w:val="24"/>
          <w:szCs w:val="24"/>
          <w:rtl/>
        </w:rPr>
        <w:t xml:space="preserve">   2</w:t>
      </w:r>
      <w:r>
        <w:rPr>
          <w:rFonts w:asciiTheme="majorBidi" w:hAnsiTheme="majorBidi" w:cstheme="majorBidi" w:hint="cs"/>
          <w:sz w:val="24"/>
          <w:szCs w:val="24"/>
          <w:rtl/>
        </w:rPr>
        <w:t xml:space="preserve">. </w:t>
      </w:r>
      <w:r w:rsidR="00BA5D44">
        <w:rPr>
          <w:rFonts w:asciiTheme="majorBidi" w:hAnsiTheme="majorBidi" w:cs="Times New Roman" w:hint="cs"/>
          <w:sz w:val="24"/>
          <w:szCs w:val="24"/>
          <w:rtl/>
        </w:rPr>
        <w:t xml:space="preserve"> דרשו בגמרא: </w:t>
      </w:r>
      <w:r w:rsidR="00BA5D44" w:rsidRPr="00BA5D44">
        <w:rPr>
          <w:rFonts w:asciiTheme="majorBidi" w:hAnsiTheme="majorBidi" w:cs="Times New Roman"/>
          <w:sz w:val="24"/>
          <w:szCs w:val="24"/>
          <w:rtl/>
        </w:rPr>
        <w:t xml:space="preserve"> </w:t>
      </w:r>
      <w:r w:rsidR="00BA5D44" w:rsidRPr="00BA5D44">
        <w:rPr>
          <w:rFonts w:ascii="David" w:hAnsi="David" w:cs="David"/>
          <w:sz w:val="24"/>
          <w:szCs w:val="24"/>
          <w:rtl/>
        </w:rPr>
        <w:t xml:space="preserve">"לעמיתך למה לי? אמרי: לעמיתך אתה מחזיר אונאה, ואי אתה מחזיר אונאה לכנעני.. הניחא למ"ד גזילו אסור - היינו דאצטריך קרא למישרי אונאה, אלא אי סבר לה כמ"ד גזילו של כנעני מותר, </w:t>
      </w:r>
      <w:r w:rsidR="00BA5D44" w:rsidRPr="00BA5D44">
        <w:rPr>
          <w:rFonts w:ascii="David" w:hAnsi="David" w:cs="David"/>
          <w:sz w:val="24"/>
          <w:szCs w:val="24"/>
          <w:rtl/>
        </w:rPr>
        <w:lastRenderedPageBreak/>
        <w:t>אונאה מיבעיא</w:t>
      </w:r>
      <w:r w:rsidR="00BA5D44" w:rsidRPr="00BA5D44">
        <w:rPr>
          <w:rStyle w:val="a6"/>
          <w:rFonts w:ascii="David" w:hAnsi="David" w:cs="David"/>
          <w:sz w:val="24"/>
          <w:szCs w:val="24"/>
          <w:rtl/>
        </w:rPr>
        <w:footnoteReference w:id="21"/>
      </w:r>
      <w:r w:rsidR="00BA5D44" w:rsidRPr="00BA5D44">
        <w:rPr>
          <w:rFonts w:ascii="David" w:hAnsi="David" w:cs="David"/>
          <w:sz w:val="24"/>
          <w:szCs w:val="24"/>
          <w:rtl/>
        </w:rPr>
        <w:t xml:space="preserve">"? </w:t>
      </w:r>
      <w:r w:rsidR="00BA5D44">
        <w:rPr>
          <w:rFonts w:ascii="David" w:hAnsi="David" w:cs="David" w:hint="cs"/>
          <w:sz w:val="24"/>
          <w:szCs w:val="24"/>
          <w:rtl/>
        </w:rPr>
        <w:t xml:space="preserve"> </w:t>
      </w:r>
      <w:r w:rsidR="00BA5D44" w:rsidRPr="00BA5D44">
        <w:rPr>
          <w:rFonts w:ascii="David" w:hAnsi="David" w:cs="David"/>
          <w:sz w:val="24"/>
          <w:szCs w:val="24"/>
          <w:rtl/>
        </w:rPr>
        <w:t>"הרי מבואר דלמ"ד גזילו אסור היינו אסור דאו'</w:t>
      </w:r>
      <w:r w:rsidR="00430CFD">
        <w:rPr>
          <w:rFonts w:ascii="David" w:hAnsi="David" w:cs="David" w:hint="cs"/>
          <w:sz w:val="24"/>
          <w:szCs w:val="24"/>
          <w:rtl/>
        </w:rPr>
        <w:t xml:space="preserve">, </w:t>
      </w:r>
      <w:r w:rsidR="00BA5D44" w:rsidRPr="00BA5D44">
        <w:rPr>
          <w:rFonts w:ascii="David" w:hAnsi="David" w:cs="David"/>
          <w:sz w:val="24"/>
          <w:szCs w:val="24"/>
          <w:rtl/>
        </w:rPr>
        <w:t xml:space="preserve">דאי ס"ד דרבנן אכתי תיקשי </w:t>
      </w:r>
      <w:r w:rsidR="00430CFD">
        <w:rPr>
          <w:rFonts w:ascii="David" w:hAnsi="David" w:cs="David" w:hint="cs"/>
          <w:sz w:val="24"/>
          <w:szCs w:val="24"/>
          <w:rtl/>
        </w:rPr>
        <w:t>'</w:t>
      </w:r>
      <w:r w:rsidR="00BA5D44" w:rsidRPr="00BA5D44">
        <w:rPr>
          <w:rFonts w:ascii="David" w:hAnsi="David" w:cs="David"/>
          <w:sz w:val="24"/>
          <w:szCs w:val="24"/>
          <w:rtl/>
        </w:rPr>
        <w:t>לעמיתך</w:t>
      </w:r>
      <w:r w:rsidR="00430CFD">
        <w:rPr>
          <w:rFonts w:ascii="David" w:hAnsi="David" w:cs="David" w:hint="cs"/>
          <w:sz w:val="24"/>
          <w:szCs w:val="24"/>
          <w:rtl/>
        </w:rPr>
        <w:t>'</w:t>
      </w:r>
      <w:r w:rsidR="00BA5D44" w:rsidRPr="00BA5D44">
        <w:rPr>
          <w:rFonts w:ascii="David" w:hAnsi="David" w:cs="David"/>
          <w:sz w:val="24"/>
          <w:szCs w:val="24"/>
          <w:rtl/>
        </w:rPr>
        <w:t xml:space="preserve"> למה לי</w:t>
      </w:r>
      <w:r w:rsidR="00BA5D44" w:rsidRPr="00BA5D44">
        <w:rPr>
          <w:rStyle w:val="a6"/>
          <w:rFonts w:ascii="David" w:hAnsi="David" w:cs="David"/>
          <w:sz w:val="24"/>
          <w:szCs w:val="24"/>
          <w:rtl/>
        </w:rPr>
        <w:footnoteReference w:id="22"/>
      </w:r>
      <w:r w:rsidR="00BA5D44" w:rsidRPr="00BA5D44">
        <w:rPr>
          <w:rFonts w:ascii="David" w:hAnsi="David" w:cs="David"/>
          <w:sz w:val="24"/>
          <w:szCs w:val="24"/>
          <w:rtl/>
        </w:rPr>
        <w:t>".</w:t>
      </w:r>
    </w:p>
    <w:p w14:paraId="06AA57A1" w14:textId="2E2DC3D9" w:rsidR="00BA5D44" w:rsidRPr="00B6377B" w:rsidRDefault="00BA5D44" w:rsidP="00430CF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3. </w:t>
      </w:r>
      <w:r w:rsidR="00AE6E37">
        <w:rPr>
          <w:rFonts w:asciiTheme="majorBidi" w:hAnsiTheme="majorBidi" w:cstheme="majorBidi" w:hint="cs"/>
          <w:sz w:val="24"/>
          <w:szCs w:val="24"/>
          <w:rtl/>
        </w:rPr>
        <w:t xml:space="preserve">דרשה דומה מצינו לגבי היתר אכילה בשעת עבודה בכרם: </w:t>
      </w:r>
      <w:r w:rsidR="00AE6E37">
        <w:rPr>
          <w:rFonts w:ascii="David" w:hAnsi="David" w:cs="David" w:hint="cs"/>
          <w:sz w:val="24"/>
          <w:szCs w:val="24"/>
          <w:rtl/>
        </w:rPr>
        <w:t>"</w:t>
      </w:r>
      <w:r w:rsidR="00AE6E37" w:rsidRPr="00AE6E37">
        <w:rPr>
          <w:rFonts w:ascii="David" w:hAnsi="David" w:cs="David"/>
          <w:sz w:val="24"/>
          <w:szCs w:val="24"/>
          <w:rtl/>
        </w:rPr>
        <w:t>בכרם רעך - ולא בכרם נכרי. הניחא למאן דאמר גזל נכרי אסור - היינו דאיצטריך קרא למישרי פועל, אלא למאן דאמר גזל נכרי מותר - השתא גזילה מותר, פועל מיבעיא</w:t>
      </w:r>
      <w:r w:rsidR="00AE6E37" w:rsidRPr="00AE6E37">
        <w:rPr>
          <w:rStyle w:val="a6"/>
          <w:rFonts w:ascii="David" w:hAnsi="David" w:cs="David"/>
          <w:sz w:val="24"/>
          <w:szCs w:val="24"/>
          <w:rtl/>
        </w:rPr>
        <w:footnoteReference w:id="23"/>
      </w:r>
      <w:r w:rsidR="00AE6E37" w:rsidRPr="00AE6E37">
        <w:rPr>
          <w:rFonts w:ascii="David" w:hAnsi="David" w:cs="David"/>
          <w:sz w:val="24"/>
          <w:szCs w:val="24"/>
          <w:rtl/>
        </w:rPr>
        <w:t>?</w:t>
      </w:r>
      <w:r w:rsidR="00AE6E37">
        <w:rPr>
          <w:rFonts w:ascii="David" w:hAnsi="David" w:cs="David" w:hint="cs"/>
          <w:sz w:val="24"/>
          <w:szCs w:val="24"/>
          <w:rtl/>
        </w:rPr>
        <w:t>"</w:t>
      </w:r>
      <w:r w:rsidR="00C6077E">
        <w:rPr>
          <w:rFonts w:ascii="David" w:hAnsi="David" w:cs="David" w:hint="cs"/>
          <w:sz w:val="24"/>
          <w:szCs w:val="24"/>
          <w:rtl/>
        </w:rPr>
        <w:t xml:space="preserve"> </w:t>
      </w:r>
      <w:r w:rsidR="00AE6E37" w:rsidRPr="00AE6E37">
        <w:rPr>
          <w:rFonts w:ascii="David" w:hAnsi="David" w:cs="David"/>
          <w:sz w:val="24"/>
          <w:szCs w:val="24"/>
          <w:rtl/>
        </w:rPr>
        <w:t>הרי מבואר דלמ"ד גזל הגוי אסור מדאורייתא הוא</w:t>
      </w:r>
      <w:r w:rsidR="00AE6E37" w:rsidRPr="00AE6E37">
        <w:rPr>
          <w:rStyle w:val="a6"/>
          <w:rFonts w:ascii="David" w:hAnsi="David" w:cs="David"/>
          <w:sz w:val="24"/>
          <w:szCs w:val="24"/>
          <w:rtl/>
        </w:rPr>
        <w:footnoteReference w:id="24"/>
      </w:r>
      <w:r w:rsidR="00AE6E37">
        <w:rPr>
          <w:rFonts w:ascii="David" w:hAnsi="David" w:cs="David" w:hint="cs"/>
          <w:sz w:val="24"/>
          <w:szCs w:val="24"/>
          <w:rtl/>
        </w:rPr>
        <w:t>".</w:t>
      </w:r>
      <w:r w:rsidR="00525FFD">
        <w:rPr>
          <w:rFonts w:ascii="David" w:hAnsi="David" w:cs="David" w:hint="cs"/>
          <w:sz w:val="24"/>
          <w:szCs w:val="24"/>
          <w:rtl/>
        </w:rPr>
        <w:t xml:space="preserve">  </w:t>
      </w:r>
      <w:r w:rsidR="00B6377B" w:rsidRPr="00B6377B">
        <w:rPr>
          <w:rFonts w:asciiTheme="majorBidi" w:hAnsiTheme="majorBidi" w:cstheme="majorBidi"/>
          <w:sz w:val="24"/>
          <w:szCs w:val="24"/>
          <w:rtl/>
        </w:rPr>
        <w:t>כתבו בעלי ה</w:t>
      </w:r>
      <w:r w:rsidR="00525FFD" w:rsidRPr="00B6377B">
        <w:rPr>
          <w:rFonts w:asciiTheme="majorBidi" w:hAnsiTheme="majorBidi" w:cstheme="majorBidi"/>
          <w:sz w:val="24"/>
          <w:szCs w:val="24"/>
          <w:rtl/>
        </w:rPr>
        <w:t>תוספות</w:t>
      </w:r>
      <w:r w:rsidR="00B6377B" w:rsidRPr="00B6377B">
        <w:rPr>
          <w:rStyle w:val="a6"/>
          <w:rFonts w:asciiTheme="majorBidi" w:hAnsiTheme="majorBidi" w:cstheme="majorBidi"/>
          <w:sz w:val="24"/>
          <w:szCs w:val="24"/>
          <w:rtl/>
        </w:rPr>
        <w:footnoteReference w:id="25"/>
      </w:r>
      <w:r w:rsidR="00525FFD" w:rsidRPr="00525FFD">
        <w:rPr>
          <w:rFonts w:ascii="David" w:hAnsi="David" w:cs="David"/>
          <w:sz w:val="24"/>
          <w:szCs w:val="24"/>
          <w:rtl/>
        </w:rPr>
        <w:t xml:space="preserve"> </w:t>
      </w:r>
      <w:r w:rsidR="00B6377B">
        <w:rPr>
          <w:rFonts w:ascii="David" w:hAnsi="David" w:cs="David" w:hint="cs"/>
          <w:sz w:val="24"/>
          <w:szCs w:val="24"/>
          <w:rtl/>
        </w:rPr>
        <w:t>: "</w:t>
      </w:r>
      <w:r w:rsidR="00525FFD" w:rsidRPr="00525FFD">
        <w:rPr>
          <w:rFonts w:ascii="David" w:hAnsi="David" w:cs="David"/>
          <w:sz w:val="24"/>
          <w:szCs w:val="24"/>
          <w:rtl/>
        </w:rPr>
        <w:t>וא"ת למאן דאמר גזל כותי מותר מאי עביד ליה לקרא דוחשב עם קונהו</w:t>
      </w:r>
      <w:r w:rsidR="00525FFD">
        <w:rPr>
          <w:rFonts w:ascii="David" w:hAnsi="David" w:cs="David" w:hint="cs"/>
          <w:sz w:val="24"/>
          <w:szCs w:val="24"/>
          <w:rtl/>
        </w:rPr>
        <w:t>...</w:t>
      </w:r>
      <w:r w:rsidR="00525FFD" w:rsidRPr="00525FFD">
        <w:rPr>
          <w:rFonts w:ascii="David" w:hAnsi="David" w:cs="David"/>
          <w:sz w:val="24"/>
          <w:szCs w:val="24"/>
          <w:rtl/>
        </w:rPr>
        <w:t xml:space="preserve"> ויש לומר דהיכא דאיכא חילול השם מודה דאסור</w:t>
      </w:r>
      <w:r w:rsidR="00B6377B">
        <w:rPr>
          <w:rFonts w:ascii="David" w:hAnsi="David" w:cs="David" w:hint="cs"/>
          <w:sz w:val="24"/>
          <w:szCs w:val="24"/>
          <w:rtl/>
        </w:rPr>
        <w:t>,</w:t>
      </w:r>
      <w:r w:rsidR="00525FFD" w:rsidRPr="00525FFD">
        <w:rPr>
          <w:rFonts w:ascii="David" w:hAnsi="David" w:cs="David"/>
          <w:sz w:val="24"/>
          <w:szCs w:val="24"/>
          <w:rtl/>
        </w:rPr>
        <w:t xml:space="preserve"> שהכותי בטח עליו ונותן לו כל שכרו והוה חילול השם אם היה יוצא בחזקה קודם היובל</w:t>
      </w:r>
      <w:r w:rsidR="00B6377B">
        <w:rPr>
          <w:rFonts w:ascii="David" w:hAnsi="David" w:cs="David" w:hint="cs"/>
          <w:sz w:val="24"/>
          <w:szCs w:val="24"/>
          <w:rtl/>
        </w:rPr>
        <w:t>"</w:t>
      </w:r>
      <w:r w:rsidR="00525FFD" w:rsidRPr="00525FFD">
        <w:rPr>
          <w:rFonts w:ascii="David" w:hAnsi="David" w:cs="David"/>
          <w:sz w:val="24"/>
          <w:szCs w:val="24"/>
          <w:rtl/>
        </w:rPr>
        <w:t>.</w:t>
      </w:r>
      <w:r w:rsidR="00B6377B">
        <w:rPr>
          <w:rFonts w:ascii="David" w:hAnsi="David" w:cs="David" w:hint="cs"/>
          <w:sz w:val="24"/>
          <w:szCs w:val="24"/>
          <w:rtl/>
        </w:rPr>
        <w:t xml:space="preserve"> </w:t>
      </w:r>
      <w:r w:rsidR="00B6377B">
        <w:rPr>
          <w:rFonts w:asciiTheme="majorBidi" w:hAnsiTheme="majorBidi" w:cstheme="majorBidi" w:hint="cs"/>
          <w:sz w:val="24"/>
          <w:szCs w:val="24"/>
          <w:rtl/>
        </w:rPr>
        <w:t xml:space="preserve">דהיינו </w:t>
      </w:r>
      <w:r w:rsidR="00B6377B">
        <w:rPr>
          <w:rFonts w:ascii="David" w:hAnsi="David" w:cs="David" w:hint="cs"/>
          <w:sz w:val="24"/>
          <w:szCs w:val="24"/>
          <w:rtl/>
        </w:rPr>
        <w:t>"</w:t>
      </w:r>
      <w:r w:rsidR="00B6377B" w:rsidRPr="00B6377B">
        <w:rPr>
          <w:rFonts w:ascii="David" w:hAnsi="David" w:cs="David"/>
          <w:sz w:val="24"/>
          <w:szCs w:val="24"/>
          <w:rtl/>
        </w:rPr>
        <w:t>למ"ד דמותר</w:t>
      </w:r>
      <w:r w:rsidR="00B6377B">
        <w:rPr>
          <w:rFonts w:ascii="David" w:hAnsi="David" w:cs="David" w:hint="cs"/>
          <w:sz w:val="24"/>
          <w:szCs w:val="24"/>
          <w:rtl/>
        </w:rPr>
        <w:t>-</w:t>
      </w:r>
      <w:r w:rsidR="00B6377B" w:rsidRPr="00B6377B">
        <w:rPr>
          <w:rFonts w:ascii="David" w:hAnsi="David" w:cs="David"/>
          <w:sz w:val="24"/>
          <w:szCs w:val="24"/>
          <w:rtl/>
        </w:rPr>
        <w:t xml:space="preserve"> מודה דאסור בחה"ש משום וחשב עם קונהו</w:t>
      </w:r>
      <w:r w:rsidR="00B6377B">
        <w:rPr>
          <w:rStyle w:val="a6"/>
          <w:rFonts w:ascii="David" w:hAnsi="David" w:cs="David"/>
          <w:sz w:val="24"/>
          <w:szCs w:val="24"/>
          <w:rtl/>
        </w:rPr>
        <w:footnoteReference w:id="26"/>
      </w:r>
      <w:r w:rsidR="00B6377B">
        <w:rPr>
          <w:rFonts w:ascii="David" w:hAnsi="David" w:cs="David" w:hint="cs"/>
          <w:sz w:val="24"/>
          <w:szCs w:val="24"/>
          <w:rtl/>
        </w:rPr>
        <w:t>"</w:t>
      </w:r>
      <w:r w:rsidR="00B6377B" w:rsidRPr="00B6377B">
        <w:rPr>
          <w:rFonts w:ascii="David" w:hAnsi="David" w:cs="David"/>
          <w:sz w:val="24"/>
          <w:szCs w:val="24"/>
          <w:rtl/>
        </w:rPr>
        <w:t>.</w:t>
      </w:r>
      <w:r w:rsidR="00B6377B">
        <w:rPr>
          <w:rFonts w:ascii="David" w:hAnsi="David" w:cs="David" w:hint="cs"/>
          <w:sz w:val="24"/>
          <w:szCs w:val="24"/>
          <w:rtl/>
        </w:rPr>
        <w:t xml:space="preserve"> "משמע שמי שאוסר גזל גוי, סבור</w:t>
      </w:r>
      <w:r w:rsidR="000439FA">
        <w:rPr>
          <w:rFonts w:ascii="David" w:hAnsi="David" w:cs="David" w:hint="cs"/>
          <w:sz w:val="24"/>
          <w:szCs w:val="24"/>
          <w:rtl/>
        </w:rPr>
        <w:t xml:space="preserve"> </w:t>
      </w:r>
      <w:r w:rsidR="00B6377B">
        <w:rPr>
          <w:rFonts w:ascii="David" w:hAnsi="David" w:cs="David" w:hint="cs"/>
          <w:sz w:val="24"/>
          <w:szCs w:val="24"/>
          <w:rtl/>
        </w:rPr>
        <w:t>שהדבר נאסר בכל מצב ולא משום חילול ה'</w:t>
      </w:r>
      <w:r w:rsidR="00B6377B">
        <w:rPr>
          <w:rStyle w:val="a6"/>
          <w:rFonts w:ascii="David" w:hAnsi="David" w:cs="David"/>
          <w:sz w:val="24"/>
          <w:szCs w:val="24"/>
          <w:rtl/>
        </w:rPr>
        <w:footnoteReference w:id="27"/>
      </w:r>
      <w:r w:rsidR="00B6377B">
        <w:rPr>
          <w:rFonts w:ascii="David" w:hAnsi="David" w:cs="David" w:hint="cs"/>
          <w:sz w:val="24"/>
          <w:szCs w:val="24"/>
          <w:rtl/>
        </w:rPr>
        <w:t xml:space="preserve">". </w:t>
      </w:r>
    </w:p>
    <w:p w14:paraId="007BCCBD" w14:textId="7EF14E6A" w:rsidR="00C6077E" w:rsidRDefault="00C6077E" w:rsidP="00C6077E">
      <w:pPr>
        <w:spacing w:after="0" w:line="360" w:lineRule="auto"/>
        <w:rPr>
          <w:rFonts w:asciiTheme="majorBidi" w:hAnsiTheme="majorBidi" w:cstheme="majorBidi"/>
          <w:sz w:val="24"/>
          <w:szCs w:val="24"/>
          <w:rtl/>
        </w:rPr>
      </w:pPr>
      <w:r w:rsidRPr="00C6077E">
        <w:rPr>
          <w:rFonts w:asciiTheme="majorBidi" w:hAnsiTheme="majorBidi" w:cstheme="majorBidi"/>
          <w:sz w:val="24"/>
          <w:szCs w:val="24"/>
          <w:rtl/>
        </w:rPr>
        <w:t xml:space="preserve">4.בדומה לכך הצורך ללמוד שאין איסור הלנת שכר בנכרי: </w:t>
      </w:r>
      <w:r>
        <w:rPr>
          <w:rFonts w:ascii="David" w:hAnsi="David" w:cs="David" w:hint="cs"/>
          <w:sz w:val="24"/>
          <w:szCs w:val="24"/>
          <w:rtl/>
        </w:rPr>
        <w:t>"</w:t>
      </w:r>
      <w:r w:rsidRPr="00C6077E">
        <w:rPr>
          <w:rFonts w:ascii="David" w:hAnsi="David" w:cs="David"/>
          <w:sz w:val="24"/>
          <w:szCs w:val="24"/>
          <w:rtl/>
        </w:rPr>
        <w:t>רעך ולא נכרי</w:t>
      </w:r>
      <w:r>
        <w:rPr>
          <w:rStyle w:val="a6"/>
          <w:rFonts w:ascii="David" w:hAnsi="David" w:cs="David"/>
          <w:sz w:val="24"/>
          <w:szCs w:val="24"/>
          <w:rtl/>
        </w:rPr>
        <w:footnoteReference w:id="28"/>
      </w:r>
      <w:r>
        <w:rPr>
          <w:rFonts w:ascii="David" w:hAnsi="David" w:cs="David" w:hint="cs"/>
          <w:sz w:val="24"/>
          <w:szCs w:val="24"/>
          <w:rtl/>
        </w:rPr>
        <w:t xml:space="preserve">". </w:t>
      </w:r>
      <w:r w:rsidRPr="00C6077E">
        <w:rPr>
          <w:rFonts w:asciiTheme="majorBidi" w:hAnsiTheme="majorBidi" w:cstheme="majorBidi"/>
          <w:sz w:val="24"/>
          <w:szCs w:val="24"/>
          <w:rtl/>
        </w:rPr>
        <w:t xml:space="preserve">מורה שגזל רגיל </w:t>
      </w:r>
      <w:r>
        <w:rPr>
          <w:rFonts w:asciiTheme="majorBidi" w:hAnsiTheme="majorBidi" w:cstheme="majorBidi" w:hint="cs"/>
          <w:sz w:val="24"/>
          <w:szCs w:val="24"/>
          <w:rtl/>
        </w:rPr>
        <w:t xml:space="preserve">נאסר </w:t>
      </w:r>
      <w:r w:rsidRPr="00C6077E">
        <w:rPr>
          <w:rFonts w:asciiTheme="majorBidi" w:hAnsiTheme="majorBidi" w:cstheme="majorBidi"/>
          <w:sz w:val="24"/>
          <w:szCs w:val="24"/>
          <w:rtl/>
        </w:rPr>
        <w:t>מהתורה.</w:t>
      </w:r>
    </w:p>
    <w:p w14:paraId="770A6734" w14:textId="4181FE17" w:rsidR="00F40B00" w:rsidRPr="00430CFD" w:rsidRDefault="00D0709E" w:rsidP="00430CFD">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ג. </w:t>
      </w:r>
      <w:r w:rsidR="000439FA">
        <w:rPr>
          <w:rFonts w:asciiTheme="majorBidi" w:hAnsiTheme="majorBidi" w:cstheme="majorBidi" w:hint="cs"/>
          <w:b/>
          <w:bCs/>
          <w:sz w:val="24"/>
          <w:szCs w:val="24"/>
          <w:rtl/>
        </w:rPr>
        <w:t>תוקף הציוויים</w:t>
      </w:r>
      <w:r w:rsidR="00430CFD">
        <w:rPr>
          <w:rFonts w:asciiTheme="majorBidi" w:hAnsiTheme="majorBidi" w:cstheme="majorBidi" w:hint="cs"/>
          <w:b/>
          <w:bCs/>
          <w:sz w:val="24"/>
          <w:szCs w:val="24"/>
          <w:rtl/>
        </w:rPr>
        <w:t xml:space="preserve"> </w:t>
      </w:r>
      <w:r w:rsidR="00525FFD">
        <w:rPr>
          <w:rFonts w:asciiTheme="majorBidi" w:hAnsiTheme="majorBidi" w:cstheme="majorBidi" w:hint="cs"/>
          <w:sz w:val="24"/>
          <w:szCs w:val="24"/>
          <w:rtl/>
        </w:rPr>
        <w:t xml:space="preserve">לדעת הרדב"ז והרש"ל, הפסוקים מספקים איסור עשה בלבד. אולם הרמב"ם כתב: </w:t>
      </w:r>
      <w:r w:rsidR="00525FFD" w:rsidRPr="00525FFD">
        <w:rPr>
          <w:rFonts w:ascii="David" w:hAnsi="David" w:cs="David"/>
          <w:sz w:val="24"/>
          <w:szCs w:val="24"/>
          <w:rtl/>
        </w:rPr>
        <w:t>"כל הגונב ממון משוה פרוטה ומעלה עובר על לא תעשה...אחד הגונב ממון ישראל או הגונב ממון גוי עובד עבודה זרה</w:t>
      </w:r>
      <w:r w:rsidR="00525FFD" w:rsidRPr="00525FFD">
        <w:rPr>
          <w:rStyle w:val="a6"/>
          <w:rFonts w:ascii="David" w:hAnsi="David" w:cs="David"/>
          <w:sz w:val="24"/>
          <w:szCs w:val="24"/>
          <w:rtl/>
        </w:rPr>
        <w:footnoteReference w:id="29"/>
      </w:r>
      <w:r w:rsidR="00525FFD">
        <w:rPr>
          <w:rFonts w:ascii="David" w:hAnsi="David" w:cs="David" w:hint="cs"/>
          <w:sz w:val="24"/>
          <w:szCs w:val="24"/>
          <w:rtl/>
        </w:rPr>
        <w:t>".</w:t>
      </w:r>
      <w:r w:rsidR="00F40B00">
        <w:rPr>
          <w:rFonts w:asciiTheme="majorBidi" w:hAnsiTheme="majorBidi" w:cstheme="majorBidi" w:hint="cs"/>
          <w:sz w:val="24"/>
          <w:szCs w:val="24"/>
          <w:rtl/>
        </w:rPr>
        <w:t xml:space="preserve"> ולגבי גזל כתב:</w:t>
      </w:r>
      <w:r w:rsidR="00430CFD">
        <w:rPr>
          <w:rFonts w:asciiTheme="majorBidi" w:hAnsiTheme="majorBidi" w:cstheme="majorBidi" w:hint="cs"/>
          <w:b/>
          <w:bCs/>
          <w:sz w:val="24"/>
          <w:szCs w:val="24"/>
          <w:rtl/>
        </w:rPr>
        <w:t xml:space="preserve"> </w:t>
      </w:r>
      <w:r w:rsidR="00F40B00" w:rsidRPr="00F40B00">
        <w:rPr>
          <w:rFonts w:ascii="David" w:hAnsi="David" w:cs="David"/>
          <w:sz w:val="24"/>
          <w:szCs w:val="24"/>
          <w:rtl/>
        </w:rPr>
        <w:t>"אסור לגזול כל שהוא דין תורה, אפילו גוי עובד עבודה זרה אסור לגזלו או לעשקו, ואם גזלו או עשקו יחזיר</w:t>
      </w:r>
      <w:r w:rsidR="00F40B00" w:rsidRPr="00F40B00">
        <w:rPr>
          <w:rStyle w:val="a6"/>
          <w:rFonts w:ascii="David" w:hAnsi="David" w:cs="David"/>
          <w:sz w:val="24"/>
          <w:szCs w:val="24"/>
          <w:rtl/>
        </w:rPr>
        <w:footnoteReference w:id="30"/>
      </w:r>
      <w:r w:rsidR="00F40B00" w:rsidRPr="00F40B00">
        <w:rPr>
          <w:rFonts w:ascii="David" w:hAnsi="David" w:cs="David"/>
          <w:sz w:val="24"/>
          <w:szCs w:val="24"/>
          <w:rtl/>
        </w:rPr>
        <w:t>".</w:t>
      </w:r>
      <w:r w:rsidR="00430CFD">
        <w:rPr>
          <w:rFonts w:asciiTheme="majorBidi" w:hAnsiTheme="majorBidi" w:cstheme="majorBidi" w:hint="cs"/>
          <w:b/>
          <w:bCs/>
          <w:sz w:val="24"/>
          <w:szCs w:val="24"/>
          <w:rtl/>
        </w:rPr>
        <w:t xml:space="preserve">  </w:t>
      </w:r>
      <w:r w:rsidR="00F40B00" w:rsidRPr="00F40B00">
        <w:rPr>
          <w:rFonts w:asciiTheme="majorBidi" w:hAnsiTheme="majorBidi" w:cstheme="majorBidi"/>
          <w:sz w:val="24"/>
          <w:szCs w:val="24"/>
          <w:rtl/>
        </w:rPr>
        <w:t>לגב</w:t>
      </w:r>
      <w:r w:rsidR="00F40B00">
        <w:rPr>
          <w:rFonts w:asciiTheme="majorBidi" w:hAnsiTheme="majorBidi" w:cstheme="majorBidi" w:hint="cs"/>
          <w:sz w:val="24"/>
          <w:szCs w:val="24"/>
          <w:rtl/>
        </w:rPr>
        <w:t>י גזל לא הזכיר הרמב"ם לא תעשה. לפיכך נאמרו בדבר חילוקים רבים. ננסה לסכמם:</w:t>
      </w:r>
    </w:p>
    <w:tbl>
      <w:tblPr>
        <w:tblStyle w:val="ab"/>
        <w:bidiVisual/>
        <w:tblW w:w="0" w:type="auto"/>
        <w:tblLook w:val="04A0" w:firstRow="1" w:lastRow="0" w:firstColumn="1" w:lastColumn="0" w:noHBand="0" w:noVBand="1"/>
      </w:tblPr>
      <w:tblGrid>
        <w:gridCol w:w="1373"/>
        <w:gridCol w:w="1375"/>
        <w:gridCol w:w="1378"/>
        <w:gridCol w:w="1381"/>
        <w:gridCol w:w="2027"/>
        <w:gridCol w:w="1277"/>
      </w:tblGrid>
      <w:tr w:rsidR="00FC720E" w14:paraId="2413AB33" w14:textId="77777777" w:rsidTr="00430CFD">
        <w:tc>
          <w:tcPr>
            <w:tcW w:w="1373" w:type="dxa"/>
          </w:tcPr>
          <w:p w14:paraId="3E4C926A" w14:textId="77777777" w:rsidR="00FC720E" w:rsidRDefault="00FC720E" w:rsidP="00430CFD">
            <w:pPr>
              <w:rPr>
                <w:rFonts w:asciiTheme="majorBidi" w:hAnsiTheme="majorBidi" w:cstheme="majorBidi"/>
                <w:sz w:val="24"/>
                <w:szCs w:val="24"/>
                <w:rtl/>
              </w:rPr>
            </w:pPr>
          </w:p>
        </w:tc>
        <w:tc>
          <w:tcPr>
            <w:tcW w:w="1375" w:type="dxa"/>
          </w:tcPr>
          <w:p w14:paraId="1A99C0A8" w14:textId="7B08058B" w:rsidR="00FC720E" w:rsidRDefault="00FC720E" w:rsidP="00430CFD">
            <w:pPr>
              <w:rPr>
                <w:rFonts w:asciiTheme="majorBidi" w:hAnsiTheme="majorBidi" w:cstheme="majorBidi"/>
                <w:sz w:val="24"/>
                <w:szCs w:val="24"/>
                <w:rtl/>
              </w:rPr>
            </w:pPr>
            <w:r>
              <w:rPr>
                <w:rFonts w:asciiTheme="majorBidi" w:hAnsiTheme="majorBidi" w:cstheme="majorBidi" w:hint="cs"/>
                <w:sz w:val="24"/>
                <w:szCs w:val="24"/>
                <w:rtl/>
              </w:rPr>
              <w:t>רש"ל</w:t>
            </w:r>
          </w:p>
        </w:tc>
        <w:tc>
          <w:tcPr>
            <w:tcW w:w="1378" w:type="dxa"/>
          </w:tcPr>
          <w:p w14:paraId="3C808E10" w14:textId="42312FB8" w:rsidR="00FC720E" w:rsidRDefault="00FC720E" w:rsidP="00430CFD">
            <w:pPr>
              <w:rPr>
                <w:rFonts w:asciiTheme="majorBidi" w:hAnsiTheme="majorBidi" w:cstheme="majorBidi"/>
                <w:sz w:val="24"/>
                <w:szCs w:val="24"/>
                <w:rtl/>
              </w:rPr>
            </w:pPr>
            <w:r>
              <w:rPr>
                <w:rFonts w:asciiTheme="majorBidi" w:hAnsiTheme="majorBidi" w:cstheme="majorBidi" w:hint="cs"/>
                <w:sz w:val="24"/>
                <w:szCs w:val="24"/>
                <w:rtl/>
              </w:rPr>
              <w:t>כס"מ</w:t>
            </w:r>
          </w:p>
        </w:tc>
        <w:tc>
          <w:tcPr>
            <w:tcW w:w="1381" w:type="dxa"/>
          </w:tcPr>
          <w:p w14:paraId="7D13DF20" w14:textId="1B0FB84A" w:rsidR="00FC720E" w:rsidRDefault="00FC720E" w:rsidP="00430CFD">
            <w:pPr>
              <w:rPr>
                <w:rFonts w:asciiTheme="majorBidi" w:hAnsiTheme="majorBidi" w:cstheme="majorBidi"/>
                <w:sz w:val="24"/>
                <w:szCs w:val="24"/>
                <w:rtl/>
              </w:rPr>
            </w:pPr>
            <w:r>
              <w:rPr>
                <w:rFonts w:asciiTheme="majorBidi" w:hAnsiTheme="majorBidi" w:cstheme="majorBidi" w:hint="cs"/>
                <w:sz w:val="24"/>
                <w:szCs w:val="24"/>
                <w:rtl/>
              </w:rPr>
              <w:t>נודע ביהודה</w:t>
            </w:r>
            <w:r>
              <w:rPr>
                <w:rStyle w:val="a6"/>
                <w:rFonts w:asciiTheme="majorBidi" w:hAnsiTheme="majorBidi" w:cstheme="majorBidi"/>
                <w:sz w:val="24"/>
                <w:szCs w:val="24"/>
                <w:rtl/>
              </w:rPr>
              <w:footnoteReference w:id="31"/>
            </w:r>
          </w:p>
        </w:tc>
        <w:tc>
          <w:tcPr>
            <w:tcW w:w="2027" w:type="dxa"/>
          </w:tcPr>
          <w:p w14:paraId="2AD6D3EE" w14:textId="644A9B91" w:rsidR="00FC720E" w:rsidRDefault="00FC720E" w:rsidP="00430CFD">
            <w:pPr>
              <w:rPr>
                <w:rFonts w:asciiTheme="majorBidi" w:hAnsiTheme="majorBidi" w:cstheme="majorBidi"/>
                <w:sz w:val="24"/>
                <w:szCs w:val="24"/>
                <w:rtl/>
              </w:rPr>
            </w:pPr>
            <w:r>
              <w:rPr>
                <w:rFonts w:asciiTheme="majorBidi" w:hAnsiTheme="majorBidi" w:cstheme="majorBidi" w:hint="cs"/>
                <w:sz w:val="24"/>
                <w:szCs w:val="24"/>
                <w:rtl/>
              </w:rPr>
              <w:t>תוספות</w:t>
            </w:r>
            <w:r>
              <w:rPr>
                <w:rStyle w:val="a6"/>
                <w:rFonts w:asciiTheme="majorBidi" w:hAnsiTheme="majorBidi" w:cstheme="majorBidi"/>
                <w:sz w:val="24"/>
                <w:szCs w:val="24"/>
                <w:rtl/>
              </w:rPr>
              <w:footnoteReference w:id="32"/>
            </w:r>
            <w:r>
              <w:rPr>
                <w:rFonts w:asciiTheme="majorBidi" w:hAnsiTheme="majorBidi" w:cstheme="majorBidi" w:hint="cs"/>
                <w:sz w:val="24"/>
                <w:szCs w:val="24"/>
                <w:rtl/>
              </w:rPr>
              <w:t>, נצי"ב בב"י</w:t>
            </w:r>
          </w:p>
        </w:tc>
        <w:tc>
          <w:tcPr>
            <w:tcW w:w="1277" w:type="dxa"/>
          </w:tcPr>
          <w:p w14:paraId="0E8D1C51" w14:textId="1EEEED15" w:rsidR="00FC720E" w:rsidRDefault="00FC720E" w:rsidP="00430CFD">
            <w:pPr>
              <w:rPr>
                <w:rFonts w:asciiTheme="majorBidi" w:hAnsiTheme="majorBidi" w:cstheme="majorBidi"/>
                <w:sz w:val="24"/>
                <w:szCs w:val="24"/>
                <w:rtl/>
              </w:rPr>
            </w:pPr>
            <w:r>
              <w:rPr>
                <w:rFonts w:asciiTheme="majorBidi" w:hAnsiTheme="majorBidi" w:cstheme="majorBidi" w:hint="cs"/>
                <w:sz w:val="24"/>
                <w:szCs w:val="24"/>
                <w:rtl/>
              </w:rPr>
              <w:t>שער אפרים</w:t>
            </w:r>
          </w:p>
        </w:tc>
      </w:tr>
      <w:tr w:rsidR="00FC720E" w14:paraId="66D43527" w14:textId="77777777" w:rsidTr="00430CFD">
        <w:tc>
          <w:tcPr>
            <w:tcW w:w="1373" w:type="dxa"/>
          </w:tcPr>
          <w:p w14:paraId="219B938E" w14:textId="6A39B802" w:rsidR="00FC720E" w:rsidRDefault="00FC720E" w:rsidP="00430CFD">
            <w:pPr>
              <w:rPr>
                <w:rFonts w:asciiTheme="majorBidi" w:hAnsiTheme="majorBidi" w:cstheme="majorBidi"/>
                <w:sz w:val="24"/>
                <w:szCs w:val="24"/>
                <w:rtl/>
              </w:rPr>
            </w:pPr>
            <w:r>
              <w:rPr>
                <w:rFonts w:asciiTheme="majorBidi" w:hAnsiTheme="majorBidi" w:cstheme="majorBidi" w:hint="cs"/>
                <w:sz w:val="24"/>
                <w:szCs w:val="24"/>
                <w:rtl/>
              </w:rPr>
              <w:t>גניבה</w:t>
            </w:r>
          </w:p>
        </w:tc>
        <w:tc>
          <w:tcPr>
            <w:tcW w:w="1375" w:type="dxa"/>
          </w:tcPr>
          <w:p w14:paraId="687861C3" w14:textId="640F1928" w:rsidR="00FC720E" w:rsidRDefault="00FC720E" w:rsidP="00430CFD">
            <w:pPr>
              <w:rPr>
                <w:rFonts w:asciiTheme="majorBidi" w:hAnsiTheme="majorBidi" w:cstheme="majorBidi"/>
                <w:sz w:val="24"/>
                <w:szCs w:val="24"/>
                <w:rtl/>
              </w:rPr>
            </w:pPr>
            <w:r>
              <w:rPr>
                <w:rFonts w:asciiTheme="majorBidi" w:hAnsiTheme="majorBidi" w:cstheme="majorBidi" w:hint="cs"/>
                <w:sz w:val="24"/>
                <w:szCs w:val="24"/>
                <w:rtl/>
              </w:rPr>
              <w:t xml:space="preserve">לאו </w:t>
            </w:r>
          </w:p>
        </w:tc>
        <w:tc>
          <w:tcPr>
            <w:tcW w:w="1378" w:type="dxa"/>
          </w:tcPr>
          <w:p w14:paraId="7D95B3DF" w14:textId="30288A84" w:rsidR="00FC720E" w:rsidRDefault="00FC720E" w:rsidP="00430CFD">
            <w:pPr>
              <w:rPr>
                <w:rFonts w:asciiTheme="majorBidi" w:hAnsiTheme="majorBidi" w:cstheme="majorBidi"/>
                <w:sz w:val="24"/>
                <w:szCs w:val="24"/>
                <w:rtl/>
              </w:rPr>
            </w:pPr>
            <w:r>
              <w:rPr>
                <w:rFonts w:asciiTheme="majorBidi" w:hAnsiTheme="majorBidi" w:cstheme="majorBidi" w:hint="cs"/>
                <w:sz w:val="24"/>
                <w:szCs w:val="24"/>
                <w:rtl/>
              </w:rPr>
              <w:t>לאו?</w:t>
            </w:r>
          </w:p>
        </w:tc>
        <w:tc>
          <w:tcPr>
            <w:tcW w:w="1381" w:type="dxa"/>
          </w:tcPr>
          <w:p w14:paraId="54E2F9B2" w14:textId="1FFE11A9" w:rsidR="00FC720E" w:rsidRDefault="00FC720E" w:rsidP="00430CFD">
            <w:pPr>
              <w:rPr>
                <w:rFonts w:asciiTheme="majorBidi" w:hAnsiTheme="majorBidi" w:cstheme="majorBidi"/>
                <w:sz w:val="24"/>
                <w:szCs w:val="24"/>
                <w:rtl/>
              </w:rPr>
            </w:pPr>
            <w:r>
              <w:rPr>
                <w:rFonts w:asciiTheme="majorBidi" w:hAnsiTheme="majorBidi" w:cstheme="majorBidi" w:hint="cs"/>
                <w:sz w:val="24"/>
                <w:szCs w:val="24"/>
                <w:rtl/>
              </w:rPr>
              <w:t>לאו</w:t>
            </w:r>
          </w:p>
        </w:tc>
        <w:tc>
          <w:tcPr>
            <w:tcW w:w="2027" w:type="dxa"/>
          </w:tcPr>
          <w:p w14:paraId="7322652C" w14:textId="4689A18A" w:rsidR="00FC720E" w:rsidRDefault="00FC720E" w:rsidP="00430CFD">
            <w:pPr>
              <w:rPr>
                <w:rFonts w:asciiTheme="majorBidi" w:hAnsiTheme="majorBidi" w:cstheme="majorBidi"/>
                <w:sz w:val="24"/>
                <w:szCs w:val="24"/>
                <w:rtl/>
              </w:rPr>
            </w:pPr>
            <w:r>
              <w:rPr>
                <w:rFonts w:asciiTheme="majorBidi" w:hAnsiTheme="majorBidi" w:cstheme="majorBidi" w:hint="cs"/>
                <w:sz w:val="24"/>
                <w:szCs w:val="24"/>
                <w:rtl/>
              </w:rPr>
              <w:t>לאו</w:t>
            </w:r>
            <w:r>
              <w:rPr>
                <w:rStyle w:val="a6"/>
                <w:rFonts w:asciiTheme="majorBidi" w:hAnsiTheme="majorBidi" w:cstheme="majorBidi"/>
                <w:sz w:val="24"/>
                <w:szCs w:val="24"/>
                <w:rtl/>
              </w:rPr>
              <w:footnoteReference w:id="33"/>
            </w:r>
          </w:p>
        </w:tc>
        <w:tc>
          <w:tcPr>
            <w:tcW w:w="1277" w:type="dxa"/>
          </w:tcPr>
          <w:p w14:paraId="0990503C" w14:textId="753D52C2" w:rsidR="00FC720E" w:rsidRDefault="00FC720E" w:rsidP="00430CFD">
            <w:pPr>
              <w:rPr>
                <w:rFonts w:asciiTheme="majorBidi" w:hAnsiTheme="majorBidi" w:cstheme="majorBidi"/>
                <w:sz w:val="24"/>
                <w:szCs w:val="24"/>
                <w:rtl/>
              </w:rPr>
            </w:pPr>
            <w:r>
              <w:rPr>
                <w:rFonts w:asciiTheme="majorBidi" w:hAnsiTheme="majorBidi" w:cstheme="majorBidi" w:hint="cs"/>
                <w:sz w:val="24"/>
                <w:szCs w:val="24"/>
                <w:rtl/>
              </w:rPr>
              <w:t>דרבנן</w:t>
            </w:r>
          </w:p>
        </w:tc>
      </w:tr>
      <w:tr w:rsidR="00FC720E" w14:paraId="6BDCFE0B" w14:textId="77777777" w:rsidTr="00430CFD">
        <w:tc>
          <w:tcPr>
            <w:tcW w:w="1373" w:type="dxa"/>
          </w:tcPr>
          <w:p w14:paraId="7608067D" w14:textId="39A4761A" w:rsidR="00FC720E" w:rsidRDefault="00FC720E" w:rsidP="00430CFD">
            <w:pPr>
              <w:rPr>
                <w:rFonts w:asciiTheme="majorBidi" w:hAnsiTheme="majorBidi" w:cstheme="majorBidi"/>
                <w:sz w:val="24"/>
                <w:szCs w:val="24"/>
                <w:rtl/>
              </w:rPr>
            </w:pPr>
            <w:r>
              <w:rPr>
                <w:rFonts w:asciiTheme="majorBidi" w:hAnsiTheme="majorBidi" w:cstheme="majorBidi" w:hint="cs"/>
                <w:sz w:val="24"/>
                <w:szCs w:val="24"/>
                <w:rtl/>
              </w:rPr>
              <w:t>גזל</w:t>
            </w:r>
          </w:p>
        </w:tc>
        <w:tc>
          <w:tcPr>
            <w:tcW w:w="1375" w:type="dxa"/>
          </w:tcPr>
          <w:p w14:paraId="2CEDD229" w14:textId="1D9DB376" w:rsidR="00FC720E" w:rsidRDefault="00FC720E" w:rsidP="00430CFD">
            <w:pPr>
              <w:rPr>
                <w:rFonts w:asciiTheme="majorBidi" w:hAnsiTheme="majorBidi" w:cstheme="majorBidi"/>
                <w:sz w:val="24"/>
                <w:szCs w:val="24"/>
                <w:rtl/>
              </w:rPr>
            </w:pPr>
            <w:r>
              <w:rPr>
                <w:rFonts w:asciiTheme="majorBidi" w:hAnsiTheme="majorBidi" w:cstheme="majorBidi" w:hint="cs"/>
                <w:sz w:val="24"/>
                <w:szCs w:val="24"/>
                <w:rtl/>
              </w:rPr>
              <w:t>לאו</w:t>
            </w:r>
          </w:p>
        </w:tc>
        <w:tc>
          <w:tcPr>
            <w:tcW w:w="1378" w:type="dxa"/>
          </w:tcPr>
          <w:p w14:paraId="4B2B2A1B" w14:textId="3C843D33" w:rsidR="00FC720E" w:rsidRDefault="00FC720E" w:rsidP="00430CFD">
            <w:pPr>
              <w:rPr>
                <w:rFonts w:asciiTheme="majorBidi" w:hAnsiTheme="majorBidi" w:cstheme="majorBidi"/>
                <w:sz w:val="24"/>
                <w:szCs w:val="24"/>
                <w:rtl/>
              </w:rPr>
            </w:pPr>
            <w:r>
              <w:rPr>
                <w:rFonts w:asciiTheme="majorBidi" w:hAnsiTheme="majorBidi" w:cstheme="majorBidi" w:hint="cs"/>
                <w:sz w:val="24"/>
                <w:szCs w:val="24"/>
                <w:rtl/>
              </w:rPr>
              <w:t>דרבנן</w:t>
            </w:r>
            <w:r>
              <w:rPr>
                <w:rStyle w:val="a6"/>
                <w:rFonts w:asciiTheme="majorBidi" w:hAnsiTheme="majorBidi" w:cstheme="majorBidi"/>
                <w:sz w:val="24"/>
                <w:szCs w:val="24"/>
                <w:rtl/>
              </w:rPr>
              <w:footnoteReference w:id="34"/>
            </w:r>
          </w:p>
        </w:tc>
        <w:tc>
          <w:tcPr>
            <w:tcW w:w="1381" w:type="dxa"/>
          </w:tcPr>
          <w:p w14:paraId="54EBDB39" w14:textId="743D798D" w:rsidR="00FC720E" w:rsidRDefault="00FC720E" w:rsidP="00430CFD">
            <w:pPr>
              <w:rPr>
                <w:rFonts w:asciiTheme="majorBidi" w:hAnsiTheme="majorBidi" w:cstheme="majorBidi"/>
                <w:sz w:val="24"/>
                <w:szCs w:val="24"/>
                <w:rtl/>
              </w:rPr>
            </w:pPr>
            <w:r>
              <w:rPr>
                <w:rFonts w:asciiTheme="majorBidi" w:hAnsiTheme="majorBidi" w:cstheme="majorBidi" w:hint="cs"/>
                <w:sz w:val="24"/>
                <w:szCs w:val="24"/>
                <w:rtl/>
              </w:rPr>
              <w:t>איסור עשה</w:t>
            </w:r>
            <w:r>
              <w:rPr>
                <w:rStyle w:val="a6"/>
                <w:rFonts w:asciiTheme="majorBidi" w:hAnsiTheme="majorBidi" w:cstheme="majorBidi"/>
                <w:sz w:val="24"/>
                <w:szCs w:val="24"/>
                <w:rtl/>
              </w:rPr>
              <w:footnoteReference w:id="35"/>
            </w:r>
          </w:p>
        </w:tc>
        <w:tc>
          <w:tcPr>
            <w:tcW w:w="2027" w:type="dxa"/>
          </w:tcPr>
          <w:p w14:paraId="51FB37FB" w14:textId="1153273C" w:rsidR="00FC720E" w:rsidRDefault="00FC720E" w:rsidP="00430CFD">
            <w:pPr>
              <w:rPr>
                <w:rFonts w:asciiTheme="majorBidi" w:hAnsiTheme="majorBidi" w:cstheme="majorBidi"/>
                <w:sz w:val="24"/>
                <w:szCs w:val="24"/>
                <w:rtl/>
              </w:rPr>
            </w:pPr>
            <w:r>
              <w:rPr>
                <w:rFonts w:asciiTheme="majorBidi" w:hAnsiTheme="majorBidi" w:cstheme="majorBidi" w:hint="cs"/>
                <w:sz w:val="24"/>
                <w:szCs w:val="24"/>
                <w:rtl/>
              </w:rPr>
              <w:t>חילול ה'</w:t>
            </w:r>
          </w:p>
        </w:tc>
        <w:tc>
          <w:tcPr>
            <w:tcW w:w="1277" w:type="dxa"/>
          </w:tcPr>
          <w:p w14:paraId="2D9F80C9" w14:textId="42E1CAE8" w:rsidR="00FC720E" w:rsidRDefault="00FC720E" w:rsidP="00430CFD">
            <w:pPr>
              <w:rPr>
                <w:rFonts w:asciiTheme="majorBidi" w:hAnsiTheme="majorBidi" w:cstheme="majorBidi"/>
                <w:sz w:val="24"/>
                <w:szCs w:val="24"/>
                <w:rtl/>
              </w:rPr>
            </w:pPr>
            <w:r>
              <w:rPr>
                <w:rFonts w:asciiTheme="majorBidi" w:hAnsiTheme="majorBidi" w:cstheme="majorBidi" w:hint="cs"/>
                <w:sz w:val="24"/>
                <w:szCs w:val="24"/>
                <w:rtl/>
              </w:rPr>
              <w:t>דרבנן</w:t>
            </w:r>
            <w:r>
              <w:rPr>
                <w:rStyle w:val="a6"/>
                <w:rFonts w:asciiTheme="majorBidi" w:hAnsiTheme="majorBidi" w:cstheme="majorBidi"/>
                <w:sz w:val="24"/>
                <w:szCs w:val="24"/>
                <w:rtl/>
              </w:rPr>
              <w:footnoteReference w:id="36"/>
            </w:r>
          </w:p>
        </w:tc>
      </w:tr>
    </w:tbl>
    <w:p w14:paraId="361130D6" w14:textId="77777777" w:rsidR="00F40B00" w:rsidRDefault="00F40B00" w:rsidP="00F40B00">
      <w:pPr>
        <w:spacing w:after="0" w:line="360" w:lineRule="auto"/>
        <w:rPr>
          <w:rFonts w:asciiTheme="majorBidi" w:hAnsiTheme="majorBidi" w:cstheme="majorBidi"/>
          <w:sz w:val="24"/>
          <w:szCs w:val="24"/>
          <w:rtl/>
        </w:rPr>
      </w:pPr>
    </w:p>
    <w:p w14:paraId="49428274" w14:textId="15B55723" w:rsidR="00F06521" w:rsidRPr="00D0709E" w:rsidRDefault="00F06521" w:rsidP="00D0709E">
      <w:pPr>
        <w:pStyle w:val="a3"/>
        <w:numPr>
          <w:ilvl w:val="0"/>
          <w:numId w:val="3"/>
        </w:numPr>
        <w:spacing w:after="0" w:line="360" w:lineRule="auto"/>
        <w:rPr>
          <w:rFonts w:asciiTheme="majorBidi" w:hAnsiTheme="majorBidi" w:cstheme="majorBidi"/>
          <w:b/>
          <w:bCs/>
          <w:sz w:val="24"/>
          <w:szCs w:val="24"/>
          <w:rtl/>
        </w:rPr>
      </w:pPr>
      <w:r w:rsidRPr="00D0709E">
        <w:rPr>
          <w:rFonts w:asciiTheme="majorBidi" w:hAnsiTheme="majorBidi" w:cstheme="majorBidi" w:hint="cs"/>
          <w:b/>
          <w:bCs/>
          <w:sz w:val="24"/>
          <w:szCs w:val="24"/>
          <w:rtl/>
        </w:rPr>
        <w:t>חיוב ההשבה</w:t>
      </w:r>
    </w:p>
    <w:p w14:paraId="00ED1DA4" w14:textId="735FACD7" w:rsidR="00F06521" w:rsidRDefault="00F06521" w:rsidP="00F0652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נאמר בתוספתא: </w:t>
      </w:r>
      <w:r>
        <w:rPr>
          <w:rFonts w:ascii="David" w:hAnsi="David" w:cs="David" w:hint="cs"/>
          <w:sz w:val="24"/>
          <w:szCs w:val="24"/>
          <w:rtl/>
        </w:rPr>
        <w:t>"</w:t>
      </w:r>
      <w:r w:rsidRPr="00F06521">
        <w:rPr>
          <w:rFonts w:ascii="David" w:hAnsi="David" w:cs="David"/>
          <w:sz w:val="24"/>
          <w:szCs w:val="24"/>
          <w:rtl/>
        </w:rPr>
        <w:t>הגוזל את הגוי חייב להחזיר לגוי חמור גזל הגוי מגזל ישראל</w:t>
      </w:r>
      <w:r w:rsidRPr="00F06521">
        <w:rPr>
          <w:rStyle w:val="a6"/>
          <w:rFonts w:ascii="David" w:hAnsi="David" w:cs="David"/>
          <w:sz w:val="24"/>
          <w:szCs w:val="24"/>
          <w:rtl/>
        </w:rPr>
        <w:footnoteReference w:id="37"/>
      </w:r>
      <w:r>
        <w:rPr>
          <w:rFonts w:ascii="David" w:hAnsi="David" w:cs="David" w:hint="cs"/>
          <w:sz w:val="24"/>
          <w:szCs w:val="24"/>
          <w:rtl/>
        </w:rPr>
        <w:t xml:space="preserve">". </w:t>
      </w:r>
      <w:r w:rsidRPr="00F06521">
        <w:rPr>
          <w:rFonts w:asciiTheme="majorBidi" w:hAnsiTheme="majorBidi" w:cstheme="majorBidi"/>
          <w:sz w:val="24"/>
          <w:szCs w:val="24"/>
          <w:rtl/>
        </w:rPr>
        <w:t>כן פסק גם הרמב"ם.</w:t>
      </w:r>
      <w:r>
        <w:rPr>
          <w:rFonts w:ascii="David" w:hAnsi="David" w:cs="David" w:hint="cs"/>
          <w:sz w:val="24"/>
          <w:szCs w:val="24"/>
          <w:rtl/>
        </w:rPr>
        <w:t xml:space="preserve"> </w:t>
      </w:r>
      <w:r w:rsidRPr="00F06521">
        <w:rPr>
          <w:rFonts w:asciiTheme="majorBidi" w:hAnsiTheme="majorBidi" w:cstheme="majorBidi"/>
          <w:sz w:val="24"/>
          <w:szCs w:val="24"/>
          <w:rtl/>
        </w:rPr>
        <w:t>אולם אפשרויות שונות במקור חיוב ההשבה ונפקא מינא</w:t>
      </w:r>
      <w:r>
        <w:rPr>
          <w:rFonts w:asciiTheme="majorBidi" w:hAnsiTheme="majorBidi" w:cstheme="majorBidi" w:hint="cs"/>
          <w:sz w:val="24"/>
          <w:szCs w:val="24"/>
          <w:rtl/>
        </w:rPr>
        <w:t xml:space="preserve"> ישנה</w:t>
      </w:r>
      <w:r w:rsidRPr="00F06521">
        <w:rPr>
          <w:rFonts w:asciiTheme="majorBidi" w:hAnsiTheme="majorBidi" w:cstheme="majorBidi"/>
          <w:sz w:val="24"/>
          <w:szCs w:val="24"/>
          <w:rtl/>
        </w:rPr>
        <w:t xml:space="preserve"> ביניהם. </w:t>
      </w:r>
      <w:r>
        <w:rPr>
          <w:rFonts w:asciiTheme="majorBidi" w:hAnsiTheme="majorBidi" w:cstheme="majorBidi" w:hint="cs"/>
          <w:sz w:val="24"/>
          <w:szCs w:val="24"/>
          <w:rtl/>
        </w:rPr>
        <w:t>במנחת חינוך מדייק שאין זו ההשבה עליה דיבר הפסוק:</w:t>
      </w:r>
    </w:p>
    <w:p w14:paraId="4E937958" w14:textId="14170195" w:rsidR="00AE4EF7" w:rsidRPr="00AE4EF7" w:rsidRDefault="00F06521" w:rsidP="00AE4EF7">
      <w:pPr>
        <w:spacing w:after="0" w:line="360" w:lineRule="auto"/>
        <w:rPr>
          <w:rFonts w:asciiTheme="majorBidi" w:hAnsiTheme="majorBidi" w:cstheme="majorBidi"/>
          <w:sz w:val="24"/>
          <w:szCs w:val="24"/>
          <w:rtl/>
        </w:rPr>
      </w:pPr>
      <w:r w:rsidRPr="00F06521">
        <w:rPr>
          <w:rFonts w:ascii="David" w:hAnsi="David" w:cs="David"/>
          <w:sz w:val="24"/>
          <w:szCs w:val="24"/>
          <w:rtl/>
        </w:rPr>
        <w:t xml:space="preserve">"אפילו אם נאמר דגזל עכו"ם אסור מה"ת, מ"מ פרשה זו דכתיב והשיב את הגזילה, ממעטינן עכו"ם מפרשה זו דכתיב: 'וכיחש </w:t>
      </w:r>
      <w:r w:rsidRPr="00F06521">
        <w:rPr>
          <w:rFonts w:ascii="David" w:hAnsi="David" w:cs="David"/>
          <w:b/>
          <w:bCs/>
          <w:sz w:val="24"/>
          <w:szCs w:val="24"/>
          <w:rtl/>
        </w:rPr>
        <w:t>בעמיתו'</w:t>
      </w:r>
      <w:r w:rsidRPr="00F06521">
        <w:rPr>
          <w:rFonts w:ascii="David" w:hAnsi="David" w:cs="David"/>
          <w:sz w:val="24"/>
          <w:szCs w:val="24"/>
          <w:rtl/>
        </w:rPr>
        <w:t xml:space="preserve">. א"כ העשה נמי לא קאי אעכו"ם, ומנלן דחייב להשיב? דלמא איסורא דעביד עביד. ונ"פ דבאמת אין מקיים מ"ע דוהשיב. מ"מ עכ"פ אינו שלו דבמה קנה </w:t>
      </w:r>
      <w:r w:rsidRPr="00F06521">
        <w:rPr>
          <w:rFonts w:ascii="David" w:hAnsi="David" w:cs="David"/>
          <w:b/>
          <w:bCs/>
          <w:sz w:val="24"/>
          <w:szCs w:val="24"/>
          <w:rtl/>
        </w:rPr>
        <w:t>כיון דאינו שלו מחויב להחזיר</w:t>
      </w:r>
      <w:r w:rsidRPr="00F06521">
        <w:rPr>
          <w:rFonts w:ascii="David" w:hAnsi="David" w:cs="David"/>
          <w:sz w:val="24"/>
          <w:szCs w:val="24"/>
          <w:rtl/>
        </w:rPr>
        <w:t>.. אך המ"ע אינו מקיים, דהעשה רק בישראל כתיב</w:t>
      </w:r>
      <w:r w:rsidRPr="00F06521">
        <w:rPr>
          <w:rStyle w:val="a6"/>
          <w:rFonts w:ascii="David" w:hAnsi="David" w:cs="David"/>
          <w:sz w:val="24"/>
          <w:szCs w:val="24"/>
          <w:rtl/>
        </w:rPr>
        <w:footnoteReference w:id="38"/>
      </w:r>
      <w:r w:rsidRPr="00F06521">
        <w:rPr>
          <w:rFonts w:ascii="David" w:hAnsi="David" w:cs="David"/>
          <w:sz w:val="24"/>
          <w:szCs w:val="24"/>
          <w:rtl/>
        </w:rPr>
        <w:t>".</w:t>
      </w:r>
      <w:r w:rsidR="00AE4EF7">
        <w:rPr>
          <w:rFonts w:ascii="David" w:hAnsi="David" w:cs="David" w:hint="cs"/>
          <w:sz w:val="24"/>
          <w:szCs w:val="24"/>
          <w:rtl/>
        </w:rPr>
        <w:t xml:space="preserve"> </w:t>
      </w:r>
      <w:r w:rsidR="00AE4EF7">
        <w:rPr>
          <w:rFonts w:asciiTheme="majorBidi" w:hAnsiTheme="majorBidi" w:cstheme="majorBidi" w:hint="cs"/>
          <w:sz w:val="24"/>
          <w:szCs w:val="24"/>
          <w:rtl/>
        </w:rPr>
        <w:t>הנודע ביהודה מציע שתי אפשרויות:</w:t>
      </w:r>
    </w:p>
    <w:p w14:paraId="3D910534" w14:textId="67720E75" w:rsidR="00F06521" w:rsidRDefault="00AE4EF7" w:rsidP="00AE4EF7">
      <w:pPr>
        <w:spacing w:after="0" w:line="360" w:lineRule="auto"/>
        <w:rPr>
          <w:rFonts w:asciiTheme="majorBidi" w:hAnsiTheme="majorBidi" w:cstheme="majorBidi"/>
          <w:sz w:val="24"/>
          <w:szCs w:val="24"/>
          <w:rtl/>
        </w:rPr>
      </w:pPr>
      <w:r>
        <w:rPr>
          <w:rFonts w:ascii="David" w:hAnsi="David" w:cs="David" w:hint="cs"/>
          <w:sz w:val="24"/>
          <w:szCs w:val="24"/>
          <w:rtl/>
        </w:rPr>
        <w:t>"</w:t>
      </w:r>
      <w:r w:rsidRPr="00AE4EF7">
        <w:rPr>
          <w:rFonts w:ascii="David" w:hAnsi="David" w:cs="David"/>
          <w:sz w:val="24"/>
          <w:szCs w:val="24"/>
          <w:rtl/>
        </w:rPr>
        <w:t>נראה לע"ד</w:t>
      </w:r>
      <w:r>
        <w:rPr>
          <w:rFonts w:ascii="David" w:hAnsi="David" w:cs="David" w:hint="cs"/>
          <w:sz w:val="24"/>
          <w:szCs w:val="24"/>
          <w:rtl/>
        </w:rPr>
        <w:t>,</w:t>
      </w:r>
      <w:r w:rsidRPr="00AE4EF7">
        <w:rPr>
          <w:rFonts w:ascii="David" w:hAnsi="David" w:cs="David"/>
          <w:sz w:val="24"/>
          <w:szCs w:val="24"/>
          <w:rtl/>
        </w:rPr>
        <w:t xml:space="preserve"> דמה דכתב הרמב"ם דאם גזלו או עשקו מחזיר</w:t>
      </w:r>
      <w:r>
        <w:rPr>
          <w:rFonts w:ascii="David" w:hAnsi="David" w:cs="David" w:hint="cs"/>
          <w:sz w:val="24"/>
          <w:szCs w:val="24"/>
          <w:rtl/>
        </w:rPr>
        <w:t>-</w:t>
      </w:r>
      <w:r w:rsidRPr="00AE4EF7">
        <w:rPr>
          <w:rFonts w:ascii="David" w:hAnsi="David" w:cs="David"/>
          <w:sz w:val="24"/>
          <w:szCs w:val="24"/>
          <w:rtl/>
        </w:rPr>
        <w:t xml:space="preserve"> </w:t>
      </w:r>
      <w:r w:rsidRPr="00AE4EF7">
        <w:rPr>
          <w:rFonts w:ascii="David" w:hAnsi="David" w:cs="David"/>
          <w:b/>
          <w:bCs/>
          <w:sz w:val="24"/>
          <w:szCs w:val="24"/>
          <w:rtl/>
        </w:rPr>
        <w:t>היינו מדרבנן</w:t>
      </w:r>
      <w:r w:rsidRPr="00AE4EF7">
        <w:rPr>
          <w:rFonts w:ascii="David" w:hAnsi="David" w:cs="David"/>
          <w:sz w:val="24"/>
          <w:szCs w:val="24"/>
          <w:rtl/>
        </w:rPr>
        <w:t xml:space="preserve"> אבל מדאורייתא מנ"ל שחייב להחזיר בכותי</w:t>
      </w:r>
      <w:r>
        <w:rPr>
          <w:rFonts w:ascii="David" w:hAnsi="David" w:cs="David" w:hint="cs"/>
          <w:sz w:val="24"/>
          <w:szCs w:val="24"/>
          <w:rtl/>
        </w:rPr>
        <w:t xml:space="preserve">? </w:t>
      </w:r>
      <w:r w:rsidRPr="00AE4EF7">
        <w:rPr>
          <w:rFonts w:ascii="David" w:hAnsi="David" w:cs="David"/>
          <w:sz w:val="24"/>
          <w:szCs w:val="24"/>
          <w:rtl/>
        </w:rPr>
        <w:t xml:space="preserve"> וזהו עצמו נראה לע"ד דעת רמ"א באה"ע ריש סי' כ"ח</w:t>
      </w:r>
      <w:r>
        <w:rPr>
          <w:rFonts w:ascii="David" w:hAnsi="David" w:cs="David" w:hint="cs"/>
          <w:sz w:val="24"/>
          <w:szCs w:val="24"/>
          <w:rtl/>
        </w:rPr>
        <w:t xml:space="preserve">.. </w:t>
      </w:r>
      <w:r w:rsidRPr="00AE4EF7">
        <w:rPr>
          <w:rFonts w:ascii="David" w:hAnsi="David" w:cs="David"/>
          <w:sz w:val="24"/>
          <w:szCs w:val="24"/>
          <w:rtl/>
        </w:rPr>
        <w:t>ואפילו אם נימא דמה שכתב הרמב"ם שאם גזלו מחזיר היינו מדאורייתא</w:t>
      </w:r>
      <w:r>
        <w:rPr>
          <w:rFonts w:ascii="David" w:hAnsi="David" w:cs="David" w:hint="cs"/>
          <w:sz w:val="24"/>
          <w:szCs w:val="24"/>
          <w:rtl/>
        </w:rPr>
        <w:t>,</w:t>
      </w:r>
      <w:r w:rsidRPr="00AE4EF7">
        <w:rPr>
          <w:rFonts w:ascii="David" w:hAnsi="David" w:cs="David"/>
          <w:sz w:val="24"/>
          <w:szCs w:val="24"/>
          <w:rtl/>
        </w:rPr>
        <w:t xml:space="preserve"> נראה לע"ד טעמא </w:t>
      </w:r>
      <w:r w:rsidRPr="00AE4EF7">
        <w:rPr>
          <w:rFonts w:ascii="David" w:hAnsi="David" w:cs="David"/>
          <w:b/>
          <w:bCs/>
          <w:sz w:val="24"/>
          <w:szCs w:val="24"/>
          <w:rtl/>
        </w:rPr>
        <w:t>משום דאמר רחמנא לא תעביד ואי עביד לא מהני וא"כ לא קנה הגזל</w:t>
      </w:r>
      <w:r w:rsidRPr="00AE4EF7">
        <w:rPr>
          <w:rFonts w:ascii="David" w:hAnsi="David" w:cs="David"/>
          <w:sz w:val="24"/>
          <w:szCs w:val="24"/>
          <w:rtl/>
        </w:rPr>
        <w:t xml:space="preserve"> כלל</w:t>
      </w:r>
      <w:r>
        <w:rPr>
          <w:rFonts w:ascii="David" w:hAnsi="David" w:cs="David" w:hint="cs"/>
          <w:sz w:val="24"/>
          <w:szCs w:val="24"/>
          <w:rtl/>
        </w:rPr>
        <w:t>,</w:t>
      </w:r>
      <w:r w:rsidRPr="00AE4EF7">
        <w:rPr>
          <w:rFonts w:ascii="David" w:hAnsi="David" w:cs="David"/>
          <w:sz w:val="24"/>
          <w:szCs w:val="24"/>
          <w:rtl/>
        </w:rPr>
        <w:t xml:space="preserve"> וכל זמן שהוא בידו אם אינו מחזיר גוזל מחדש אבל </w:t>
      </w:r>
      <w:r w:rsidRPr="00AE4EF7">
        <w:rPr>
          <w:rFonts w:ascii="David" w:hAnsi="David" w:cs="David"/>
          <w:b/>
          <w:bCs/>
          <w:sz w:val="24"/>
          <w:szCs w:val="24"/>
          <w:rtl/>
        </w:rPr>
        <w:t>אם כבר אכל הגזל ודאי שאינו חייב לשלם ממון אחר</w:t>
      </w:r>
      <w:r w:rsidR="00C62090">
        <w:rPr>
          <w:rFonts w:ascii="David" w:hAnsi="David" w:cs="David" w:hint="cs"/>
          <w:b/>
          <w:bCs/>
          <w:sz w:val="24"/>
          <w:szCs w:val="24"/>
          <w:rtl/>
        </w:rPr>
        <w:t>,</w:t>
      </w:r>
      <w:r w:rsidRPr="00AE4EF7">
        <w:rPr>
          <w:rFonts w:ascii="David" w:hAnsi="David" w:cs="David"/>
          <w:sz w:val="24"/>
          <w:szCs w:val="24"/>
          <w:rtl/>
        </w:rPr>
        <w:t xml:space="preserve"> ומה דהוה הוה</w:t>
      </w:r>
      <w:r>
        <w:rPr>
          <w:rStyle w:val="a6"/>
          <w:rFonts w:ascii="David" w:hAnsi="David" w:cs="David"/>
          <w:sz w:val="24"/>
          <w:szCs w:val="24"/>
          <w:rtl/>
        </w:rPr>
        <w:footnoteReference w:id="39"/>
      </w:r>
      <w:r>
        <w:rPr>
          <w:rFonts w:ascii="David" w:hAnsi="David" w:cs="David" w:hint="cs"/>
          <w:sz w:val="24"/>
          <w:szCs w:val="24"/>
          <w:rtl/>
        </w:rPr>
        <w:t>".</w:t>
      </w:r>
      <w:r w:rsidR="00C62090">
        <w:rPr>
          <w:rFonts w:ascii="David" w:hAnsi="David" w:cs="David" w:hint="cs"/>
          <w:sz w:val="24"/>
          <w:szCs w:val="24"/>
          <w:rtl/>
        </w:rPr>
        <w:t xml:space="preserve"> </w:t>
      </w:r>
      <w:r w:rsidR="00C62090">
        <w:rPr>
          <w:rFonts w:asciiTheme="majorBidi" w:hAnsiTheme="majorBidi" w:cstheme="majorBidi" w:hint="cs"/>
          <w:sz w:val="24"/>
          <w:szCs w:val="24"/>
          <w:rtl/>
        </w:rPr>
        <w:t>אולם כפי שהתבאר</w:t>
      </w:r>
      <w:r w:rsidR="00C62090">
        <w:rPr>
          <w:rStyle w:val="a6"/>
          <w:rFonts w:asciiTheme="majorBidi" w:hAnsiTheme="majorBidi" w:cstheme="majorBidi"/>
          <w:sz w:val="24"/>
          <w:szCs w:val="24"/>
          <w:rtl/>
        </w:rPr>
        <w:footnoteReference w:id="40"/>
      </w:r>
      <w:r w:rsidR="00C62090">
        <w:rPr>
          <w:rFonts w:asciiTheme="majorBidi" w:hAnsiTheme="majorBidi" w:cstheme="majorBidi" w:hint="cs"/>
          <w:sz w:val="24"/>
          <w:szCs w:val="24"/>
          <w:rtl/>
        </w:rPr>
        <w:t xml:space="preserve"> הרמב"ם מיעט </w:t>
      </w:r>
      <w:r w:rsidR="00FC720E">
        <w:rPr>
          <w:rFonts w:asciiTheme="majorBidi" w:hAnsiTheme="majorBidi" w:cstheme="majorBidi" w:hint="cs"/>
          <w:sz w:val="24"/>
          <w:szCs w:val="24"/>
          <w:rtl/>
        </w:rPr>
        <w:t>גזל הגוי</w:t>
      </w:r>
      <w:r w:rsidR="00C62090">
        <w:rPr>
          <w:rFonts w:asciiTheme="majorBidi" w:hAnsiTheme="majorBidi" w:cstheme="majorBidi" w:hint="cs"/>
          <w:sz w:val="24"/>
          <w:szCs w:val="24"/>
          <w:rtl/>
        </w:rPr>
        <w:t xml:space="preserve"> מחיוב חומש </w:t>
      </w:r>
      <w:r w:rsidR="00C62090">
        <w:rPr>
          <w:rFonts w:asciiTheme="majorBidi" w:hAnsiTheme="majorBidi" w:cstheme="majorBidi"/>
          <w:sz w:val="24"/>
          <w:szCs w:val="24"/>
          <w:rtl/>
        </w:rPr>
        <w:t>–</w:t>
      </w:r>
      <w:r w:rsidR="00C62090">
        <w:rPr>
          <w:rFonts w:asciiTheme="majorBidi" w:hAnsiTheme="majorBidi" w:cstheme="majorBidi" w:hint="cs"/>
          <w:sz w:val="24"/>
          <w:szCs w:val="24"/>
          <w:rtl/>
        </w:rPr>
        <w:t xml:space="preserve"> משמע שחיוב ההשבה הוא מן התורה</w:t>
      </w:r>
      <w:r w:rsidR="00C62090">
        <w:rPr>
          <w:rStyle w:val="a6"/>
          <w:rFonts w:asciiTheme="majorBidi" w:hAnsiTheme="majorBidi" w:cstheme="majorBidi"/>
          <w:sz w:val="24"/>
          <w:szCs w:val="24"/>
          <w:rtl/>
        </w:rPr>
        <w:footnoteReference w:id="41"/>
      </w:r>
      <w:r w:rsidR="00C62090">
        <w:rPr>
          <w:rFonts w:asciiTheme="majorBidi" w:hAnsiTheme="majorBidi" w:cstheme="majorBidi" w:hint="cs"/>
          <w:sz w:val="24"/>
          <w:szCs w:val="24"/>
          <w:rtl/>
        </w:rPr>
        <w:t>.</w:t>
      </w:r>
    </w:p>
    <w:p w14:paraId="3F1E22AD" w14:textId="77777777" w:rsidR="006D15A7" w:rsidRDefault="00C62090" w:rsidP="006D15A7">
      <w:pPr>
        <w:spacing w:after="0" w:line="360" w:lineRule="auto"/>
        <w:rPr>
          <w:rFonts w:asciiTheme="majorBidi" w:hAnsiTheme="majorBidi" w:cs="Times New Roman"/>
          <w:sz w:val="24"/>
          <w:szCs w:val="24"/>
          <w:rtl/>
        </w:rPr>
      </w:pPr>
      <w:r>
        <w:rPr>
          <w:rFonts w:asciiTheme="majorBidi" w:hAnsiTheme="majorBidi" w:cstheme="majorBidi" w:hint="cs"/>
          <w:sz w:val="24"/>
          <w:szCs w:val="24"/>
          <w:rtl/>
        </w:rPr>
        <w:t xml:space="preserve">כן נראה שגם דעת בעלי התוספות, שכתבו לגבי חמץ: </w:t>
      </w:r>
      <w:r w:rsidR="006D15A7">
        <w:rPr>
          <w:rFonts w:ascii="David" w:hAnsi="David" w:cs="David" w:hint="cs"/>
          <w:sz w:val="24"/>
          <w:szCs w:val="24"/>
          <w:rtl/>
        </w:rPr>
        <w:t>"</w:t>
      </w:r>
      <w:r w:rsidRPr="006D15A7">
        <w:rPr>
          <w:rFonts w:ascii="David" w:hAnsi="David" w:cs="David"/>
          <w:sz w:val="24"/>
          <w:szCs w:val="24"/>
          <w:rtl/>
        </w:rPr>
        <w:t>אם גזל מנכרי הרי חייב באחריותו</w:t>
      </w:r>
      <w:r w:rsidR="006D15A7" w:rsidRPr="006D15A7">
        <w:rPr>
          <w:rStyle w:val="a6"/>
          <w:rFonts w:ascii="David" w:hAnsi="David" w:cs="David"/>
          <w:sz w:val="24"/>
          <w:szCs w:val="24"/>
          <w:rtl/>
        </w:rPr>
        <w:footnoteReference w:id="42"/>
      </w:r>
      <w:r w:rsidR="006D15A7">
        <w:rPr>
          <w:rFonts w:ascii="David" w:hAnsi="David" w:cs="David" w:hint="cs"/>
          <w:sz w:val="24"/>
          <w:szCs w:val="24"/>
          <w:rtl/>
        </w:rPr>
        <w:t>".</w:t>
      </w:r>
      <w:r w:rsidR="006D15A7">
        <w:rPr>
          <w:rFonts w:asciiTheme="majorBidi" w:hAnsiTheme="majorBidi" w:cstheme="majorBidi" w:hint="cs"/>
          <w:sz w:val="24"/>
          <w:szCs w:val="24"/>
          <w:rtl/>
        </w:rPr>
        <w:t xml:space="preserve"> </w:t>
      </w:r>
    </w:p>
    <w:p w14:paraId="6E9672A1" w14:textId="5C55374C" w:rsidR="00D0709E" w:rsidRDefault="006D15A7" w:rsidP="00D0709E">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ולגבי חיוב בן נח בגזל כתבו: </w:t>
      </w:r>
      <w:r w:rsidRPr="006D15A7">
        <w:rPr>
          <w:rFonts w:ascii="David" w:hAnsi="David" w:cs="David"/>
          <w:sz w:val="24"/>
          <w:szCs w:val="24"/>
          <w:rtl/>
        </w:rPr>
        <w:t>"גוזל מעכו"ם היה חייב כיון דקפיד</w:t>
      </w:r>
      <w:r>
        <w:rPr>
          <w:rFonts w:ascii="David" w:hAnsi="David" w:cs="David" w:hint="cs"/>
          <w:sz w:val="24"/>
          <w:szCs w:val="24"/>
          <w:rtl/>
        </w:rPr>
        <w:t>,</w:t>
      </w:r>
      <w:r w:rsidRPr="006D15A7">
        <w:rPr>
          <w:rFonts w:ascii="David" w:hAnsi="David" w:cs="David"/>
          <w:sz w:val="24"/>
          <w:szCs w:val="24"/>
          <w:rtl/>
        </w:rPr>
        <w:t xml:space="preserve"> ולא כפ"ה דפטר בגוזל מן העכו"ם משום דלא כתיבא ביה השבה</w:t>
      </w:r>
      <w:r w:rsidRPr="006D15A7">
        <w:rPr>
          <w:rStyle w:val="a6"/>
          <w:rFonts w:ascii="David" w:hAnsi="David" w:cs="David"/>
          <w:sz w:val="24"/>
          <w:szCs w:val="24"/>
          <w:rtl/>
        </w:rPr>
        <w:footnoteReference w:id="43"/>
      </w:r>
      <w:r w:rsidRPr="006D15A7">
        <w:rPr>
          <w:rFonts w:ascii="David" w:hAnsi="David" w:cs="David"/>
          <w:sz w:val="24"/>
          <w:szCs w:val="24"/>
          <w:rtl/>
        </w:rPr>
        <w:t>"</w:t>
      </w:r>
      <w:r>
        <w:rPr>
          <w:rFonts w:asciiTheme="majorBidi" w:hAnsiTheme="majorBidi" w:cstheme="majorBidi" w:hint="cs"/>
          <w:sz w:val="24"/>
          <w:szCs w:val="24"/>
          <w:rtl/>
        </w:rPr>
        <w:t>. אם חובת ההשבה היא מן התורה, יש ליישב את דברי הרמ"א לגבי מקדש ב</w:t>
      </w:r>
      <w:r w:rsidR="00FC720E">
        <w:rPr>
          <w:rFonts w:asciiTheme="majorBidi" w:hAnsiTheme="majorBidi" w:cstheme="majorBidi" w:hint="cs"/>
          <w:sz w:val="24"/>
          <w:szCs w:val="24"/>
          <w:rtl/>
        </w:rPr>
        <w:t>גזל הגוי</w:t>
      </w:r>
      <w:r>
        <w:rPr>
          <w:rFonts w:asciiTheme="majorBidi" w:hAnsiTheme="majorBidi" w:cstheme="majorBidi" w:hint="cs"/>
          <w:sz w:val="24"/>
          <w:szCs w:val="24"/>
          <w:rtl/>
        </w:rPr>
        <w:t xml:space="preserve">. </w:t>
      </w:r>
      <w:r w:rsidR="00D0709E">
        <w:rPr>
          <w:rFonts w:asciiTheme="majorBidi" w:hAnsiTheme="majorBidi" w:cstheme="majorBidi" w:hint="cs"/>
          <w:sz w:val="24"/>
          <w:szCs w:val="24"/>
          <w:rtl/>
        </w:rPr>
        <w:t xml:space="preserve">אפשר להציע, שבכל זאת הרמ"א מחלק בין גזל לבין הפקעת הלוואה: </w:t>
      </w:r>
    </w:p>
    <w:p w14:paraId="5A08D8B0" w14:textId="02E3CE36" w:rsidR="00C62090" w:rsidRPr="00D0709E" w:rsidRDefault="00D0709E" w:rsidP="00D0709E">
      <w:pPr>
        <w:spacing w:after="0" w:line="360" w:lineRule="auto"/>
        <w:rPr>
          <w:rFonts w:asciiTheme="majorBidi" w:hAnsiTheme="majorBidi" w:cstheme="majorBidi"/>
          <w:sz w:val="24"/>
          <w:szCs w:val="24"/>
          <w:rtl/>
        </w:rPr>
      </w:pPr>
      <w:r w:rsidRPr="00D0709E">
        <w:rPr>
          <w:rFonts w:ascii="David" w:hAnsi="David" w:cs="David"/>
          <w:sz w:val="24"/>
          <w:szCs w:val="24"/>
          <w:rtl/>
        </w:rPr>
        <w:t xml:space="preserve">"בד"מ העתיק דין זה מתשובת מהרי"ו </w:t>
      </w:r>
      <w:r w:rsidRPr="00D0709E">
        <w:rPr>
          <w:rFonts w:ascii="David" w:hAnsi="David" w:cs="David"/>
          <w:sz w:val="16"/>
          <w:szCs w:val="16"/>
          <w:rtl/>
        </w:rPr>
        <w:t>סי' קל"ח</w:t>
      </w:r>
      <w:r w:rsidRPr="00D0709E">
        <w:rPr>
          <w:rFonts w:ascii="David" w:hAnsi="David" w:cs="David"/>
          <w:sz w:val="24"/>
          <w:szCs w:val="24"/>
          <w:rtl/>
        </w:rPr>
        <w:t xml:space="preserve"> ,ושם מיירי באחד שמכר משכון של כותי לחבירו וחבירו קידש בו אשה. וזה היא אפשר דרבנן, דהמשכון בהיתר' אתי לידיה ומכירת המשכון הוי כהפקעת הלואתו. אבל גזילה ממש דהוי כעין גזל החנות לא מצינו שיהיה הפרש בין כותי לישראל</w:t>
      </w:r>
      <w:r w:rsidRPr="00D0709E">
        <w:rPr>
          <w:rStyle w:val="a6"/>
          <w:rFonts w:ascii="David" w:hAnsi="David" w:cs="David"/>
          <w:sz w:val="24"/>
          <w:szCs w:val="24"/>
          <w:rtl/>
        </w:rPr>
        <w:footnoteReference w:id="44"/>
      </w:r>
      <w:r w:rsidRPr="00D0709E">
        <w:rPr>
          <w:rFonts w:ascii="David" w:hAnsi="David" w:cs="David"/>
          <w:sz w:val="24"/>
          <w:szCs w:val="24"/>
          <w:rtl/>
        </w:rPr>
        <w:t>".</w:t>
      </w:r>
      <w:r>
        <w:rPr>
          <w:rFonts w:ascii="David" w:hAnsi="David" w:cs="David" w:hint="cs"/>
          <w:sz w:val="24"/>
          <w:szCs w:val="24"/>
          <w:rtl/>
        </w:rPr>
        <w:t xml:space="preserve"> עוד </w:t>
      </w:r>
      <w:r>
        <w:rPr>
          <w:rFonts w:asciiTheme="majorBidi" w:hAnsiTheme="majorBidi" w:cstheme="majorBidi" w:hint="cs"/>
          <w:sz w:val="24"/>
          <w:szCs w:val="24"/>
          <w:rtl/>
        </w:rPr>
        <w:t>חילוק אחר, בדיני גזלן:</w:t>
      </w:r>
    </w:p>
    <w:p w14:paraId="678F6709" w14:textId="30CEED53" w:rsidR="00505042" w:rsidRPr="00FD23A2" w:rsidRDefault="00505042" w:rsidP="00FD23A2">
      <w:pPr>
        <w:spacing w:after="0" w:line="360" w:lineRule="auto"/>
        <w:rPr>
          <w:rFonts w:asciiTheme="majorBidi" w:hAnsiTheme="majorBidi" w:cstheme="majorBidi"/>
          <w:sz w:val="24"/>
          <w:szCs w:val="24"/>
          <w:rtl/>
        </w:rPr>
      </w:pPr>
      <w:r>
        <w:rPr>
          <w:rFonts w:ascii="David" w:hAnsi="David" w:cs="David" w:hint="cs"/>
          <w:sz w:val="24"/>
          <w:szCs w:val="24"/>
          <w:rtl/>
        </w:rPr>
        <w:t>"</w:t>
      </w:r>
      <w:r w:rsidRPr="00505042">
        <w:rPr>
          <w:rFonts w:ascii="David" w:hAnsi="David" w:cs="David"/>
          <w:sz w:val="24"/>
          <w:szCs w:val="24"/>
          <w:rtl/>
        </w:rPr>
        <w:t>כל זה איירי בגזלן וגנב עצמו אבל הלוקח ממנו בלא יאוש ליכא א</w:t>
      </w:r>
      <w:r>
        <w:rPr>
          <w:rFonts w:ascii="David" w:hAnsi="David" w:cs="David" w:hint="cs"/>
          <w:sz w:val="24"/>
          <w:szCs w:val="24"/>
          <w:rtl/>
        </w:rPr>
        <w:t>יסור דאורייתא,</w:t>
      </w:r>
      <w:r w:rsidRPr="00505042">
        <w:rPr>
          <w:rFonts w:ascii="David" w:hAnsi="David" w:cs="David"/>
          <w:sz w:val="24"/>
          <w:szCs w:val="24"/>
          <w:rtl/>
        </w:rPr>
        <w:t xml:space="preserve"> דהא עושק מעכו"ם אינו אלא מדרבנן</w:t>
      </w:r>
      <w:r>
        <w:rPr>
          <w:rStyle w:val="a6"/>
          <w:rFonts w:ascii="David" w:hAnsi="David" w:cs="David"/>
          <w:sz w:val="24"/>
          <w:szCs w:val="24"/>
          <w:rtl/>
        </w:rPr>
        <w:footnoteReference w:id="45"/>
      </w:r>
      <w:r>
        <w:rPr>
          <w:rFonts w:ascii="David" w:hAnsi="David" w:cs="David" w:hint="cs"/>
          <w:sz w:val="24"/>
          <w:szCs w:val="24"/>
          <w:rtl/>
        </w:rPr>
        <w:t xml:space="preserve">". </w:t>
      </w:r>
      <w:r w:rsidR="00FD23A2">
        <w:rPr>
          <w:rFonts w:ascii="David" w:hAnsi="David" w:cs="David" w:hint="cs"/>
          <w:sz w:val="24"/>
          <w:szCs w:val="24"/>
          <w:rtl/>
        </w:rPr>
        <w:t xml:space="preserve"> </w:t>
      </w:r>
      <w:r w:rsidR="00FD23A2" w:rsidRPr="00FD23A2">
        <w:rPr>
          <w:rFonts w:asciiTheme="majorBidi" w:hAnsiTheme="majorBidi" w:cstheme="majorBidi"/>
          <w:sz w:val="24"/>
          <w:szCs w:val="24"/>
          <w:rtl/>
        </w:rPr>
        <w:t>הגיב בעל הקצות:</w:t>
      </w:r>
      <w:r w:rsidR="00FD23A2">
        <w:rPr>
          <w:rFonts w:ascii="David" w:hAnsi="David" w:cs="David" w:hint="cs"/>
          <w:sz w:val="24"/>
          <w:szCs w:val="24"/>
          <w:rtl/>
        </w:rPr>
        <w:t xml:space="preserve"> </w:t>
      </w:r>
      <w:r>
        <w:rPr>
          <w:rFonts w:ascii="David" w:hAnsi="David" w:cs="David" w:hint="cs"/>
          <w:sz w:val="24"/>
          <w:szCs w:val="24"/>
          <w:rtl/>
        </w:rPr>
        <w:t>"</w:t>
      </w:r>
      <w:r w:rsidRPr="00505042">
        <w:rPr>
          <w:rFonts w:ascii="David" w:hAnsi="David" w:cs="David"/>
          <w:sz w:val="24"/>
          <w:szCs w:val="24"/>
          <w:rtl/>
        </w:rPr>
        <w:t xml:space="preserve">אמנם לפי מ"ש מוהרש"ל </w:t>
      </w:r>
      <w:r w:rsidRPr="00505042">
        <w:rPr>
          <w:rFonts w:ascii="David" w:hAnsi="David" w:cs="David"/>
          <w:sz w:val="18"/>
          <w:szCs w:val="18"/>
          <w:rtl/>
        </w:rPr>
        <w:t>ביש"ש פ' הגוזל בתרא</w:t>
      </w:r>
      <w:r w:rsidRPr="00505042">
        <w:rPr>
          <w:rFonts w:ascii="David" w:hAnsi="David" w:cs="David"/>
          <w:sz w:val="24"/>
          <w:szCs w:val="24"/>
          <w:rtl/>
        </w:rPr>
        <w:t xml:space="preserve"> דהרמב"ם ס"ל דגם הפקעת הלואתו אסור מן התורה</w:t>
      </w:r>
      <w:r>
        <w:rPr>
          <w:rFonts w:ascii="David" w:hAnsi="David" w:cs="David" w:hint="cs"/>
          <w:sz w:val="24"/>
          <w:szCs w:val="24"/>
          <w:rtl/>
        </w:rPr>
        <w:t xml:space="preserve">, </w:t>
      </w:r>
      <w:r w:rsidRPr="00505042">
        <w:rPr>
          <w:rFonts w:ascii="David" w:hAnsi="David" w:cs="David"/>
          <w:sz w:val="24"/>
          <w:szCs w:val="24"/>
          <w:rtl/>
        </w:rPr>
        <w:t>א"כ ה"ה גבי לוקח אף על גב דבהיתרא אתי לידי'</w:t>
      </w:r>
      <w:r w:rsidR="00430CFD">
        <w:rPr>
          <w:rFonts w:ascii="David" w:hAnsi="David" w:cs="David" w:hint="cs"/>
          <w:sz w:val="24"/>
          <w:szCs w:val="24"/>
          <w:rtl/>
        </w:rPr>
        <w:t>-</w:t>
      </w:r>
      <w:r w:rsidRPr="00505042">
        <w:rPr>
          <w:rFonts w:ascii="David" w:hAnsi="David" w:cs="David"/>
          <w:sz w:val="24"/>
          <w:szCs w:val="24"/>
          <w:rtl/>
        </w:rPr>
        <w:t xml:space="preserve"> אסור מן התורה</w:t>
      </w:r>
      <w:r>
        <w:rPr>
          <w:rStyle w:val="a6"/>
          <w:rFonts w:ascii="David" w:hAnsi="David" w:cs="David"/>
          <w:sz w:val="24"/>
          <w:szCs w:val="24"/>
          <w:rtl/>
        </w:rPr>
        <w:footnoteReference w:id="46"/>
      </w:r>
      <w:r>
        <w:rPr>
          <w:rFonts w:ascii="David" w:hAnsi="David" w:cs="David" w:hint="cs"/>
          <w:sz w:val="24"/>
          <w:szCs w:val="24"/>
          <w:rtl/>
        </w:rPr>
        <w:t>"</w:t>
      </w:r>
      <w:r w:rsidRPr="00505042">
        <w:rPr>
          <w:rFonts w:ascii="David" w:hAnsi="David" w:cs="David"/>
          <w:sz w:val="24"/>
          <w:szCs w:val="24"/>
          <w:rtl/>
        </w:rPr>
        <w:t>.</w:t>
      </w:r>
      <w:r w:rsidR="00FD23A2">
        <w:rPr>
          <w:rFonts w:ascii="David" w:hAnsi="David" w:cs="David" w:hint="cs"/>
          <w:sz w:val="24"/>
          <w:szCs w:val="24"/>
          <w:rtl/>
        </w:rPr>
        <w:t xml:space="preserve"> </w:t>
      </w:r>
      <w:r w:rsidR="00FD23A2">
        <w:rPr>
          <w:rFonts w:asciiTheme="majorBidi" w:hAnsiTheme="majorBidi" w:cstheme="majorBidi" w:hint="cs"/>
          <w:sz w:val="24"/>
          <w:szCs w:val="24"/>
          <w:rtl/>
        </w:rPr>
        <w:t>בערוך השולחן הציע:</w:t>
      </w:r>
    </w:p>
    <w:p w14:paraId="5325C973" w14:textId="786AA4FC" w:rsidR="00F06521" w:rsidRPr="00FD23A2" w:rsidRDefault="00FD23A2" w:rsidP="00FD23A2">
      <w:pPr>
        <w:spacing w:after="0" w:line="360" w:lineRule="auto"/>
        <w:rPr>
          <w:rFonts w:ascii="David" w:hAnsi="David" w:cs="David"/>
          <w:sz w:val="24"/>
          <w:szCs w:val="24"/>
          <w:rtl/>
        </w:rPr>
      </w:pPr>
      <w:r w:rsidRPr="00FD23A2">
        <w:rPr>
          <w:rFonts w:ascii="David" w:hAnsi="David" w:cs="David"/>
          <w:sz w:val="24"/>
          <w:szCs w:val="24"/>
          <w:rtl/>
        </w:rPr>
        <w:lastRenderedPageBreak/>
        <w:t>"זכתה האשה בהחפץ מדין תורה ורק מדין תורה חייבת להחזיר הדמים</w:t>
      </w:r>
      <w:r w:rsidR="00D0709E">
        <w:rPr>
          <w:rFonts w:ascii="David" w:hAnsi="David" w:cs="David" w:hint="cs"/>
          <w:sz w:val="24"/>
          <w:szCs w:val="24"/>
          <w:rtl/>
        </w:rPr>
        <w:t>.</w:t>
      </w:r>
      <w:r w:rsidRPr="00FD23A2">
        <w:rPr>
          <w:rFonts w:ascii="David" w:hAnsi="David" w:cs="David"/>
          <w:sz w:val="24"/>
          <w:szCs w:val="24"/>
          <w:rtl/>
        </w:rPr>
        <w:t xml:space="preserve"> ורבנן פטרוה מפני תקנת השוק וכיון דכבר פטרוה חכמים מלשלם והו"ל כאלו כבר שילמה נשאר החפץ שלה גם מן התורה [א"מ]</w:t>
      </w:r>
      <w:r>
        <w:rPr>
          <w:rFonts w:ascii="David" w:hAnsi="David" w:cs="David" w:hint="cs"/>
          <w:sz w:val="24"/>
          <w:szCs w:val="24"/>
          <w:rtl/>
        </w:rPr>
        <w:t>,</w:t>
      </w:r>
      <w:r w:rsidRPr="00FD23A2">
        <w:rPr>
          <w:rFonts w:ascii="David" w:hAnsi="David" w:cs="David"/>
          <w:sz w:val="24"/>
          <w:szCs w:val="24"/>
          <w:rtl/>
        </w:rPr>
        <w:t xml:space="preserve"> דהא אין להנגזל שום טענה על האשה בעד החפץ גם מדין תורה</w:t>
      </w:r>
      <w:r w:rsidRPr="00FD23A2">
        <w:rPr>
          <w:rStyle w:val="a6"/>
          <w:rFonts w:ascii="David" w:hAnsi="David" w:cs="David"/>
          <w:sz w:val="24"/>
          <w:szCs w:val="24"/>
          <w:rtl/>
        </w:rPr>
        <w:footnoteReference w:id="47"/>
      </w:r>
      <w:r w:rsidRPr="00FD23A2">
        <w:rPr>
          <w:rFonts w:ascii="David" w:hAnsi="David" w:cs="David"/>
          <w:sz w:val="24"/>
          <w:szCs w:val="24"/>
          <w:rtl/>
        </w:rPr>
        <w:t>".</w:t>
      </w:r>
    </w:p>
    <w:p w14:paraId="32594599" w14:textId="77777777" w:rsidR="00F06521" w:rsidRDefault="00F06521" w:rsidP="000454F1">
      <w:pPr>
        <w:spacing w:after="0" w:line="360" w:lineRule="auto"/>
        <w:rPr>
          <w:rFonts w:asciiTheme="majorBidi" w:hAnsiTheme="majorBidi" w:cstheme="majorBidi"/>
          <w:sz w:val="24"/>
          <w:szCs w:val="24"/>
          <w:rtl/>
        </w:rPr>
      </w:pPr>
    </w:p>
    <w:p w14:paraId="0265DA27" w14:textId="4DF7C7A0" w:rsidR="000454F1" w:rsidRPr="000454F1" w:rsidRDefault="00FD23A2" w:rsidP="000454F1">
      <w:pPr>
        <w:spacing w:after="0" w:line="360" w:lineRule="auto"/>
        <w:rPr>
          <w:rFonts w:ascii="David" w:hAnsi="David" w:cs="David"/>
          <w:sz w:val="24"/>
          <w:szCs w:val="24"/>
        </w:rPr>
      </w:pPr>
      <w:r>
        <w:rPr>
          <w:rFonts w:ascii="David" w:hAnsi="David" w:cs="David" w:hint="cs"/>
          <w:sz w:val="24"/>
          <w:szCs w:val="24"/>
          <w:rtl/>
        </w:rPr>
        <w:t xml:space="preserve"> </w:t>
      </w:r>
    </w:p>
    <w:sectPr w:rsidR="000454F1" w:rsidRPr="000454F1" w:rsidSect="00C6077E">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F6C99" w14:textId="77777777" w:rsidR="00542936" w:rsidRDefault="00542936" w:rsidP="00417EE5">
      <w:pPr>
        <w:spacing w:after="0" w:line="240" w:lineRule="auto"/>
      </w:pPr>
      <w:r>
        <w:separator/>
      </w:r>
    </w:p>
  </w:endnote>
  <w:endnote w:type="continuationSeparator" w:id="0">
    <w:p w14:paraId="73F1ABF7" w14:textId="77777777" w:rsidR="00542936" w:rsidRDefault="00542936" w:rsidP="0041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CFBC9" w14:textId="77777777" w:rsidR="00542936" w:rsidRDefault="00542936" w:rsidP="00417EE5">
      <w:pPr>
        <w:spacing w:after="0" w:line="240" w:lineRule="auto"/>
      </w:pPr>
      <w:r>
        <w:separator/>
      </w:r>
    </w:p>
  </w:footnote>
  <w:footnote w:type="continuationSeparator" w:id="0">
    <w:p w14:paraId="611DC2D1" w14:textId="77777777" w:rsidR="00542936" w:rsidRDefault="00542936" w:rsidP="00417EE5">
      <w:pPr>
        <w:spacing w:after="0" w:line="240" w:lineRule="auto"/>
      </w:pPr>
      <w:r>
        <w:continuationSeparator/>
      </w:r>
    </w:p>
  </w:footnote>
  <w:footnote w:id="1">
    <w:p w14:paraId="4DCA0E25" w14:textId="737D646B" w:rsidR="00204D8F" w:rsidRPr="00204D8F" w:rsidRDefault="00204D8F" w:rsidP="00204D8F">
      <w:pPr>
        <w:spacing w:after="0" w:line="360" w:lineRule="auto"/>
        <w:rPr>
          <w:rFonts w:asciiTheme="majorBidi" w:hAnsiTheme="majorBidi" w:cstheme="majorBidi"/>
          <w:sz w:val="20"/>
          <w:szCs w:val="20"/>
        </w:rPr>
      </w:pPr>
      <w:r>
        <w:rPr>
          <w:rStyle w:val="a6"/>
        </w:rPr>
        <w:footnoteRef/>
      </w:r>
      <w:r>
        <w:rPr>
          <w:rtl/>
        </w:rPr>
        <w:t xml:space="preserve"> </w:t>
      </w:r>
      <w:r w:rsidRPr="00204D8F">
        <w:rPr>
          <w:rFonts w:asciiTheme="majorBidi" w:hAnsiTheme="majorBidi" w:cs="Times New Roman"/>
          <w:sz w:val="20"/>
          <w:szCs w:val="20"/>
          <w:rtl/>
        </w:rPr>
        <w:t>תורה תמימה הערות ויקרא פרק כה הערה פג</w:t>
      </w:r>
      <w:r>
        <w:rPr>
          <w:rFonts w:asciiTheme="majorBidi" w:hAnsiTheme="majorBidi" w:cstheme="majorBidi" w:hint="cs"/>
          <w:sz w:val="20"/>
          <w:szCs w:val="20"/>
          <w:rtl/>
        </w:rPr>
        <w:t>.</w:t>
      </w:r>
    </w:p>
  </w:footnote>
  <w:footnote w:id="2">
    <w:p w14:paraId="203EBD4D" w14:textId="02CBAB81" w:rsidR="00417EE5" w:rsidRPr="00C75F68" w:rsidRDefault="00417EE5" w:rsidP="00C75F68">
      <w:pPr>
        <w:spacing w:after="0" w:line="360" w:lineRule="auto"/>
        <w:rPr>
          <w:rFonts w:asciiTheme="majorBidi" w:hAnsiTheme="majorBidi" w:cstheme="majorBidi"/>
          <w:sz w:val="20"/>
          <w:szCs w:val="20"/>
          <w:rtl/>
        </w:rPr>
      </w:pPr>
      <w:r w:rsidRPr="00C75F68">
        <w:rPr>
          <w:rStyle w:val="a6"/>
          <w:rFonts w:asciiTheme="majorBidi" w:hAnsiTheme="majorBidi" w:cstheme="majorBidi"/>
          <w:sz w:val="20"/>
          <w:szCs w:val="20"/>
        </w:rPr>
        <w:footnoteRef/>
      </w:r>
      <w:r w:rsidRPr="00C75F68">
        <w:rPr>
          <w:rFonts w:asciiTheme="majorBidi" w:hAnsiTheme="majorBidi" w:cstheme="majorBidi"/>
          <w:sz w:val="20"/>
          <w:szCs w:val="20"/>
          <w:rtl/>
        </w:rPr>
        <w:t xml:space="preserve"> מסכת בבא מציעא דף קיא עמוד ב.</w:t>
      </w:r>
    </w:p>
  </w:footnote>
  <w:footnote w:id="3">
    <w:p w14:paraId="7A7B924B" w14:textId="1698E667" w:rsidR="00417EE5" w:rsidRPr="00C75F68" w:rsidRDefault="00417EE5" w:rsidP="00C75F68">
      <w:pPr>
        <w:pStyle w:val="a4"/>
        <w:spacing w:line="360" w:lineRule="auto"/>
        <w:rPr>
          <w:rFonts w:asciiTheme="majorBidi" w:hAnsiTheme="majorBidi" w:cstheme="majorBidi"/>
          <w:rtl/>
        </w:rPr>
      </w:pPr>
      <w:r w:rsidRPr="00C75F68">
        <w:rPr>
          <w:rStyle w:val="a6"/>
          <w:rFonts w:asciiTheme="majorBidi" w:hAnsiTheme="majorBidi" w:cstheme="majorBidi"/>
        </w:rPr>
        <w:footnoteRef/>
      </w:r>
      <w:r w:rsidR="00C17FA9" w:rsidRPr="00C75F68">
        <w:rPr>
          <w:rFonts w:asciiTheme="majorBidi" w:hAnsiTheme="majorBidi" w:cstheme="majorBidi"/>
        </w:rPr>
        <w:t xml:space="preserve"> </w:t>
      </w:r>
      <w:r w:rsidR="00C17FA9" w:rsidRPr="00C75F68">
        <w:rPr>
          <w:rFonts w:asciiTheme="majorBidi" w:hAnsiTheme="majorBidi" w:cstheme="majorBidi"/>
          <w:rtl/>
        </w:rPr>
        <w:t>ירושלמי  פרק ד הלכה ג.</w:t>
      </w:r>
    </w:p>
  </w:footnote>
  <w:footnote w:id="4">
    <w:p w14:paraId="0D38D1AE" w14:textId="47910511" w:rsidR="00C17FA9" w:rsidRPr="00C75F68" w:rsidRDefault="00C17FA9" w:rsidP="00C75F68">
      <w:pPr>
        <w:pStyle w:val="a4"/>
        <w:spacing w:line="360" w:lineRule="auto"/>
        <w:rPr>
          <w:rFonts w:asciiTheme="majorBidi" w:hAnsiTheme="majorBidi" w:cstheme="majorBidi"/>
          <w:rtl/>
        </w:rPr>
      </w:pPr>
      <w:r w:rsidRPr="00C75F68">
        <w:rPr>
          <w:rStyle w:val="a6"/>
          <w:rFonts w:asciiTheme="majorBidi" w:hAnsiTheme="majorBidi" w:cstheme="majorBidi"/>
        </w:rPr>
        <w:footnoteRef/>
      </w:r>
      <w:r w:rsidRPr="00C75F68">
        <w:rPr>
          <w:rFonts w:asciiTheme="majorBidi" w:hAnsiTheme="majorBidi" w:cstheme="majorBidi"/>
          <w:rtl/>
        </w:rPr>
        <w:t xml:space="preserve"> בירור הלכה דף קיג עמוד א ציון ד אות ב. </w:t>
      </w:r>
    </w:p>
  </w:footnote>
  <w:footnote w:id="5">
    <w:p w14:paraId="711B87DF" w14:textId="3C6206E1" w:rsidR="00AE6E37" w:rsidRPr="00AE6E37" w:rsidRDefault="00C17FA9" w:rsidP="00AE6E37">
      <w:pPr>
        <w:pStyle w:val="a4"/>
        <w:spacing w:line="360" w:lineRule="auto"/>
        <w:rPr>
          <w:rFonts w:asciiTheme="majorBidi" w:hAnsiTheme="majorBidi" w:cstheme="majorBidi"/>
          <w:rtl/>
        </w:rPr>
      </w:pPr>
      <w:r w:rsidRPr="00C75F68">
        <w:rPr>
          <w:rStyle w:val="a6"/>
          <w:rFonts w:asciiTheme="majorBidi" w:hAnsiTheme="majorBidi" w:cstheme="majorBidi"/>
        </w:rPr>
        <w:footnoteRef/>
      </w:r>
      <w:r w:rsidRPr="00C75F68">
        <w:rPr>
          <w:rFonts w:asciiTheme="majorBidi" w:hAnsiTheme="majorBidi" w:cstheme="majorBidi"/>
          <w:rtl/>
        </w:rPr>
        <w:t xml:space="preserve"> רש"י מסכת סנהדרין דף נז עמוד א.</w:t>
      </w:r>
      <w:r w:rsidR="00AE6E37">
        <w:rPr>
          <w:rFonts w:asciiTheme="majorBidi" w:hAnsiTheme="majorBidi" w:cstheme="majorBidi" w:hint="cs"/>
          <w:rtl/>
        </w:rPr>
        <w:t xml:space="preserve"> אמנם ניתן לבאר </w:t>
      </w:r>
      <w:r w:rsidR="00AE6E37" w:rsidRPr="00AE6E37">
        <w:rPr>
          <w:rFonts w:asciiTheme="majorBidi" w:hAnsiTheme="majorBidi" w:cstheme="majorBidi"/>
          <w:rtl/>
        </w:rPr>
        <w:t>שכוונתו רק</w:t>
      </w:r>
      <w:r w:rsidR="00AE6E37">
        <w:rPr>
          <w:rFonts w:hint="cs"/>
          <w:rtl/>
        </w:rPr>
        <w:t xml:space="preserve"> </w:t>
      </w:r>
      <w:r w:rsidR="00AE6E37">
        <w:rPr>
          <w:rFonts w:ascii="David" w:hAnsi="David" w:cs="David" w:hint="cs"/>
          <w:rtl/>
        </w:rPr>
        <w:t>"</w:t>
      </w:r>
      <w:r w:rsidR="00AE6E37" w:rsidRPr="00AE6E37">
        <w:rPr>
          <w:rFonts w:ascii="David" w:hAnsi="David" w:cs="David"/>
          <w:rtl/>
        </w:rPr>
        <w:t>לכובש ש"ש דהיינו הפקעת הלואתו</w:t>
      </w:r>
      <w:r w:rsidR="00AE6E37">
        <w:rPr>
          <w:rFonts w:asciiTheme="majorBidi" w:hAnsiTheme="majorBidi" w:cstheme="majorBidi" w:hint="cs"/>
          <w:rtl/>
        </w:rPr>
        <w:t xml:space="preserve">" </w:t>
      </w:r>
      <w:r w:rsidR="00AE6E37">
        <w:rPr>
          <w:rFonts w:asciiTheme="majorBidi" w:hAnsiTheme="majorBidi" w:cs="Times New Roman" w:hint="cs"/>
          <w:rtl/>
        </w:rPr>
        <w:t>(</w:t>
      </w:r>
      <w:r w:rsidR="00AE6E37" w:rsidRPr="00AE6E37">
        <w:rPr>
          <w:rFonts w:asciiTheme="majorBidi" w:hAnsiTheme="majorBidi" w:cs="Times New Roman"/>
          <w:rtl/>
        </w:rPr>
        <w:t>שער המלך הלכות גזלה ואבדה פרק א הלכה ב</w:t>
      </w:r>
      <w:r w:rsidR="00AE6E37">
        <w:rPr>
          <w:rFonts w:asciiTheme="majorBidi" w:hAnsiTheme="majorBidi" w:cs="Times New Roman" w:hint="cs"/>
          <w:rtl/>
        </w:rPr>
        <w:t>).</w:t>
      </w:r>
      <w:r w:rsidR="00AE6E37">
        <w:rPr>
          <w:rFonts w:asciiTheme="majorBidi" w:hAnsiTheme="majorBidi" w:cstheme="majorBidi" w:hint="cs"/>
          <w:rtl/>
        </w:rPr>
        <w:t xml:space="preserve"> אכן, רש"י בסוגייתנו כתב: </w:t>
      </w:r>
    </w:p>
    <w:p w14:paraId="11E6850F" w14:textId="450CC329" w:rsidR="00C17FA9" w:rsidRPr="00AE6E37" w:rsidRDefault="00AE6E37" w:rsidP="00AE6E37">
      <w:pPr>
        <w:pStyle w:val="a4"/>
        <w:spacing w:line="360" w:lineRule="auto"/>
        <w:rPr>
          <w:rFonts w:ascii="David" w:hAnsi="David" w:cs="David"/>
        </w:rPr>
      </w:pPr>
      <w:r>
        <w:rPr>
          <w:rFonts w:ascii="David" w:hAnsi="David" w:cs="David" w:hint="cs"/>
          <w:rtl/>
        </w:rPr>
        <w:t>"</w:t>
      </w:r>
      <w:r w:rsidRPr="00AE6E37">
        <w:rPr>
          <w:rFonts w:ascii="David" w:hAnsi="David" w:cs="David"/>
          <w:rtl/>
        </w:rPr>
        <w:t>בהפקעת הלוואתו - שאין גזל ממש שרי כי ליכא חילול השם</w:t>
      </w:r>
      <w:r>
        <w:rPr>
          <w:rFonts w:ascii="David" w:hAnsi="David" w:cs="David" w:hint="cs"/>
          <w:rtl/>
        </w:rPr>
        <w:t xml:space="preserve">". "משמע שבגזל ממש אף שאין חילול ה' אסור מכח הפסוקים" </w:t>
      </w:r>
      <w:r w:rsidRPr="00AE6E37">
        <w:rPr>
          <w:rFonts w:asciiTheme="majorBidi" w:hAnsiTheme="majorBidi" w:cstheme="majorBidi"/>
          <w:rtl/>
        </w:rPr>
        <w:t>(בירור הלכה אות א סוף פסקה שניה).</w:t>
      </w:r>
    </w:p>
  </w:footnote>
  <w:footnote w:id="6">
    <w:p w14:paraId="68D3F0EC" w14:textId="46131D26" w:rsidR="00C17FA9" w:rsidRPr="00C75F68" w:rsidRDefault="00C17FA9" w:rsidP="00C75F68">
      <w:pPr>
        <w:spacing w:after="0" w:line="360" w:lineRule="auto"/>
        <w:rPr>
          <w:rFonts w:asciiTheme="majorBidi" w:hAnsiTheme="majorBidi" w:cstheme="majorBidi"/>
          <w:sz w:val="20"/>
          <w:szCs w:val="20"/>
        </w:rPr>
      </w:pPr>
      <w:r w:rsidRPr="00C75F68">
        <w:rPr>
          <w:rStyle w:val="a6"/>
          <w:rFonts w:asciiTheme="majorBidi" w:hAnsiTheme="majorBidi" w:cstheme="majorBidi"/>
          <w:sz w:val="20"/>
          <w:szCs w:val="20"/>
        </w:rPr>
        <w:footnoteRef/>
      </w:r>
      <w:r w:rsidRPr="00C75F68">
        <w:rPr>
          <w:rFonts w:asciiTheme="majorBidi" w:hAnsiTheme="majorBidi" w:cstheme="majorBidi"/>
          <w:sz w:val="20"/>
          <w:szCs w:val="20"/>
          <w:rtl/>
        </w:rPr>
        <w:t xml:space="preserve"> ביאור הגר"א אבן העזר סימן כח סוף ס"ק ה.</w:t>
      </w:r>
      <w:r w:rsidR="00525FFD">
        <w:rPr>
          <w:rFonts w:asciiTheme="majorBidi" w:hAnsiTheme="majorBidi" w:cstheme="majorBidi" w:hint="cs"/>
          <w:sz w:val="20"/>
          <w:szCs w:val="20"/>
          <w:rtl/>
        </w:rPr>
        <w:t xml:space="preserve"> וכן דעת מהר"ם </w:t>
      </w:r>
      <w:r w:rsidR="00525FFD" w:rsidRPr="00525FFD">
        <w:rPr>
          <w:rFonts w:asciiTheme="majorBidi" w:hAnsiTheme="majorBidi" w:cstheme="majorBidi" w:hint="cs"/>
          <w:sz w:val="20"/>
          <w:szCs w:val="20"/>
          <w:rtl/>
        </w:rPr>
        <w:t>אלגאזי (</w:t>
      </w:r>
      <w:r w:rsidR="00525FFD" w:rsidRPr="00525FFD">
        <w:rPr>
          <w:rFonts w:asciiTheme="majorBidi" w:hAnsiTheme="majorBidi" w:cstheme="majorBidi" w:hint="cs"/>
          <w:sz w:val="16"/>
          <w:szCs w:val="16"/>
          <w:rtl/>
        </w:rPr>
        <w:t>הלכות בכורות לרמב"ן י, ב ד"ה והנה).</w:t>
      </w:r>
      <w:r w:rsidR="00525FFD">
        <w:rPr>
          <w:rFonts w:asciiTheme="majorBidi" w:hAnsiTheme="majorBidi" w:cstheme="majorBidi" w:hint="cs"/>
          <w:sz w:val="20"/>
          <w:szCs w:val="20"/>
          <w:rtl/>
        </w:rPr>
        <w:t xml:space="preserve"> </w:t>
      </w:r>
    </w:p>
  </w:footnote>
  <w:footnote w:id="7">
    <w:p w14:paraId="5C3DFCE5" w14:textId="374CC074" w:rsidR="007C6D62" w:rsidRPr="00C75F68" w:rsidRDefault="007C6D62" w:rsidP="00C75F68">
      <w:pPr>
        <w:pStyle w:val="a4"/>
        <w:spacing w:line="360" w:lineRule="auto"/>
        <w:rPr>
          <w:rFonts w:asciiTheme="majorBidi" w:hAnsiTheme="majorBidi" w:cstheme="majorBidi"/>
        </w:rPr>
      </w:pPr>
      <w:r w:rsidRPr="00C75F68">
        <w:rPr>
          <w:rStyle w:val="a6"/>
          <w:rFonts w:asciiTheme="majorBidi" w:hAnsiTheme="majorBidi" w:cstheme="majorBidi"/>
        </w:rPr>
        <w:footnoteRef/>
      </w:r>
      <w:r w:rsidRPr="00C75F68">
        <w:rPr>
          <w:rFonts w:asciiTheme="majorBidi" w:hAnsiTheme="majorBidi" w:cstheme="majorBidi"/>
          <w:rtl/>
        </w:rPr>
        <w:t xml:space="preserve"> ואולי היא הגרסה בסוגייתנו: 'אנס'.</w:t>
      </w:r>
    </w:p>
  </w:footnote>
  <w:footnote w:id="8">
    <w:p w14:paraId="7EAA1E57" w14:textId="3330F51E" w:rsidR="007C6D62" w:rsidRPr="00C6077E" w:rsidRDefault="007C6D62" w:rsidP="00C6077E">
      <w:pPr>
        <w:spacing w:after="0" w:line="360" w:lineRule="auto"/>
        <w:rPr>
          <w:rFonts w:asciiTheme="majorBidi" w:hAnsiTheme="majorBidi" w:cstheme="majorBidi"/>
          <w:sz w:val="20"/>
          <w:szCs w:val="20"/>
        </w:rPr>
      </w:pPr>
      <w:r w:rsidRPr="00C75F68">
        <w:rPr>
          <w:rStyle w:val="a6"/>
          <w:rFonts w:asciiTheme="majorBidi" w:hAnsiTheme="majorBidi" w:cstheme="majorBidi"/>
          <w:sz w:val="20"/>
          <w:szCs w:val="20"/>
        </w:rPr>
        <w:footnoteRef/>
      </w:r>
      <w:r w:rsidRPr="00C75F68">
        <w:rPr>
          <w:rFonts w:asciiTheme="majorBidi" w:hAnsiTheme="majorBidi" w:cstheme="majorBidi"/>
          <w:sz w:val="20"/>
          <w:szCs w:val="20"/>
          <w:rtl/>
        </w:rPr>
        <w:t xml:space="preserve"> ספר מצוות גדול לאוין סימן קנב.</w:t>
      </w:r>
    </w:p>
  </w:footnote>
  <w:footnote w:id="9">
    <w:p w14:paraId="1BC01CCF" w14:textId="6BBB8D43" w:rsidR="00017341" w:rsidRPr="001F1DC1" w:rsidRDefault="00017341" w:rsidP="001F1DC1">
      <w:pPr>
        <w:pStyle w:val="a4"/>
        <w:spacing w:line="360" w:lineRule="auto"/>
        <w:rPr>
          <w:rFonts w:asciiTheme="majorBidi" w:hAnsiTheme="majorBidi" w:cstheme="majorBidi"/>
          <w:rtl/>
        </w:rPr>
      </w:pPr>
      <w:r w:rsidRPr="001F1DC1">
        <w:rPr>
          <w:rStyle w:val="a6"/>
          <w:rFonts w:asciiTheme="majorBidi" w:hAnsiTheme="majorBidi" w:cstheme="majorBidi"/>
        </w:rPr>
        <w:footnoteRef/>
      </w:r>
      <w:r w:rsidRPr="001F1DC1">
        <w:rPr>
          <w:rFonts w:asciiTheme="majorBidi" w:hAnsiTheme="majorBidi" w:cstheme="majorBidi"/>
          <w:rtl/>
        </w:rPr>
        <w:t xml:space="preserve"> ספר יראים סימן תכב.</w:t>
      </w:r>
    </w:p>
  </w:footnote>
  <w:footnote w:id="10">
    <w:p w14:paraId="678DE4EB" w14:textId="5CA51590" w:rsidR="009F0D4C" w:rsidRPr="001F1DC1" w:rsidRDefault="009F0D4C" w:rsidP="001F1DC1">
      <w:pPr>
        <w:pStyle w:val="a4"/>
        <w:spacing w:line="360" w:lineRule="auto"/>
        <w:rPr>
          <w:rFonts w:asciiTheme="majorBidi" w:hAnsiTheme="majorBidi" w:cstheme="majorBidi"/>
          <w:rtl/>
        </w:rPr>
      </w:pPr>
      <w:r w:rsidRPr="001F1DC1">
        <w:rPr>
          <w:rStyle w:val="a6"/>
          <w:rFonts w:asciiTheme="majorBidi" w:hAnsiTheme="majorBidi" w:cstheme="majorBidi"/>
        </w:rPr>
        <w:footnoteRef/>
      </w:r>
      <w:r w:rsidRPr="001F1DC1">
        <w:rPr>
          <w:rFonts w:asciiTheme="majorBidi" w:hAnsiTheme="majorBidi" w:cstheme="majorBidi"/>
          <w:rtl/>
        </w:rPr>
        <w:t xml:space="preserve"> שולחן ערוך אבן העזר   סימן כח סעיף א.</w:t>
      </w:r>
    </w:p>
  </w:footnote>
  <w:footnote w:id="11">
    <w:p w14:paraId="136AF3E7" w14:textId="5DD54D27" w:rsidR="009F0D4C" w:rsidRPr="001F1DC1" w:rsidRDefault="009F0D4C" w:rsidP="001F1DC1">
      <w:pPr>
        <w:pStyle w:val="a4"/>
        <w:spacing w:line="360" w:lineRule="auto"/>
        <w:rPr>
          <w:rFonts w:asciiTheme="majorBidi" w:hAnsiTheme="majorBidi" w:cstheme="majorBidi"/>
        </w:rPr>
      </w:pPr>
      <w:r w:rsidRPr="001F1DC1">
        <w:rPr>
          <w:rStyle w:val="a6"/>
          <w:rFonts w:asciiTheme="majorBidi" w:hAnsiTheme="majorBidi" w:cstheme="majorBidi"/>
        </w:rPr>
        <w:footnoteRef/>
      </w:r>
      <w:r w:rsidRPr="001F1DC1">
        <w:rPr>
          <w:rFonts w:asciiTheme="majorBidi" w:hAnsiTheme="majorBidi" w:cstheme="majorBidi"/>
          <w:rtl/>
        </w:rPr>
        <w:t xml:space="preserve"> ס"ק ה.</w:t>
      </w:r>
    </w:p>
  </w:footnote>
  <w:footnote w:id="12">
    <w:p w14:paraId="049E7FD7" w14:textId="09D09C57" w:rsidR="009F0D4C" w:rsidRPr="001F1DC1" w:rsidRDefault="009F0D4C" w:rsidP="001F1DC1">
      <w:pPr>
        <w:spacing w:after="0" w:line="360" w:lineRule="auto"/>
        <w:rPr>
          <w:rFonts w:asciiTheme="majorBidi" w:hAnsiTheme="majorBidi" w:cstheme="majorBidi"/>
          <w:sz w:val="20"/>
          <w:szCs w:val="20"/>
          <w:rtl/>
        </w:rPr>
      </w:pPr>
      <w:r w:rsidRPr="001F1DC1">
        <w:rPr>
          <w:rStyle w:val="a6"/>
          <w:rFonts w:asciiTheme="majorBidi" w:hAnsiTheme="majorBidi" w:cstheme="majorBidi"/>
          <w:sz w:val="20"/>
          <w:szCs w:val="20"/>
        </w:rPr>
        <w:footnoteRef/>
      </w:r>
      <w:r w:rsidRPr="001F1DC1">
        <w:rPr>
          <w:rFonts w:asciiTheme="majorBidi" w:hAnsiTheme="majorBidi" w:cstheme="majorBidi"/>
          <w:sz w:val="20"/>
          <w:szCs w:val="20"/>
          <w:rtl/>
        </w:rPr>
        <w:t xml:space="preserve"> אבני מילואים סימן כח ס"ק ג.</w:t>
      </w:r>
    </w:p>
  </w:footnote>
  <w:footnote w:id="13">
    <w:p w14:paraId="38FEA101" w14:textId="014C686A" w:rsidR="009F0D4C" w:rsidRPr="001F1DC1" w:rsidRDefault="009F0D4C" w:rsidP="001F1DC1">
      <w:pPr>
        <w:pStyle w:val="a4"/>
        <w:spacing w:line="360" w:lineRule="auto"/>
        <w:rPr>
          <w:rFonts w:asciiTheme="majorBidi" w:hAnsiTheme="majorBidi" w:cstheme="majorBidi"/>
        </w:rPr>
      </w:pPr>
      <w:r w:rsidRPr="001F1DC1">
        <w:rPr>
          <w:rStyle w:val="a6"/>
          <w:rFonts w:asciiTheme="majorBidi" w:hAnsiTheme="majorBidi" w:cstheme="majorBidi"/>
        </w:rPr>
        <w:footnoteRef/>
      </w:r>
      <w:r w:rsidRPr="001F1DC1">
        <w:rPr>
          <w:rFonts w:asciiTheme="majorBidi" w:hAnsiTheme="majorBidi" w:cstheme="majorBidi"/>
          <w:rtl/>
        </w:rPr>
        <w:t xml:space="preserve"> קונטרסי שיעורים </w:t>
      </w:r>
      <w:r w:rsidR="00733DB8" w:rsidRPr="001F1DC1">
        <w:rPr>
          <w:rFonts w:asciiTheme="majorBidi" w:hAnsiTheme="majorBidi" w:cstheme="majorBidi"/>
          <w:rtl/>
        </w:rPr>
        <w:t>שיעור יז אות יג.</w:t>
      </w:r>
    </w:p>
  </w:footnote>
  <w:footnote w:id="14">
    <w:p w14:paraId="2F8D38F4" w14:textId="26F2410C" w:rsidR="00AD157A" w:rsidRPr="00AD157A" w:rsidRDefault="00AD157A" w:rsidP="00AD157A">
      <w:pPr>
        <w:pStyle w:val="a4"/>
        <w:rPr>
          <w:rFonts w:asciiTheme="majorBidi" w:hAnsiTheme="majorBidi" w:cstheme="majorBidi"/>
          <w:rtl/>
        </w:rPr>
      </w:pPr>
      <w:r w:rsidRPr="00AD157A">
        <w:rPr>
          <w:rStyle w:val="a6"/>
          <w:rFonts w:asciiTheme="majorBidi" w:hAnsiTheme="majorBidi" w:cstheme="majorBidi"/>
        </w:rPr>
        <w:footnoteRef/>
      </w:r>
      <w:r w:rsidRPr="00AD157A">
        <w:rPr>
          <w:rFonts w:asciiTheme="majorBidi" w:hAnsiTheme="majorBidi" w:cstheme="majorBidi"/>
          <w:rtl/>
        </w:rPr>
        <w:t xml:space="preserve"> על פי </w:t>
      </w:r>
      <w:r w:rsidRPr="00AD157A">
        <w:rPr>
          <w:rFonts w:asciiTheme="majorBidi" w:hAnsiTheme="majorBidi" w:cstheme="majorBidi"/>
          <w:rtl/>
        </w:rPr>
        <w:t>פירוש המשנה לרמב"ם</w:t>
      </w:r>
      <w:r>
        <w:rPr>
          <w:rFonts w:asciiTheme="majorBidi" w:hAnsiTheme="majorBidi" w:cstheme="majorBidi" w:hint="cs"/>
          <w:rtl/>
        </w:rPr>
        <w:t xml:space="preserve">: </w:t>
      </w:r>
      <w:r w:rsidRPr="00AD157A">
        <w:rPr>
          <w:rFonts w:ascii="David" w:hAnsi="David" w:cs="David"/>
          <w:rtl/>
        </w:rPr>
        <w:t>"</w:t>
      </w:r>
      <w:r w:rsidRPr="00AD157A">
        <w:rPr>
          <w:rFonts w:ascii="David" w:hAnsi="David" w:cs="David"/>
          <w:rtl/>
        </w:rPr>
        <w:t>אסור לגנוב דעת הבריות ואפילו דעת הגוי, וכל שכן אם יהא תלוי חלול השם שאז יהיה העון חמור יותר, ויושגו לאדם תכונות רעות על ידי כל המעשים הרעים הללו אשר העיד יתעלה על עצמו שהוא מתעב אותן כשלעצמן נעשו עם מי שנעשו</w:t>
      </w:r>
      <w:r w:rsidRPr="00AD157A">
        <w:rPr>
          <w:rFonts w:ascii="David" w:hAnsi="David" w:cs="David"/>
          <w:rtl/>
        </w:rPr>
        <w:t>".</w:t>
      </w:r>
      <w:r w:rsidRPr="00AD157A">
        <w:rPr>
          <w:rFonts w:asciiTheme="majorBidi" w:hAnsiTheme="majorBidi" w:cstheme="majorBidi"/>
          <w:rtl/>
        </w:rPr>
        <w:t>(מסכת כלים פרק יב משנה ז).</w:t>
      </w:r>
    </w:p>
    <w:p w14:paraId="35DD0308" w14:textId="77777777" w:rsidR="00AD157A" w:rsidRPr="00AD157A" w:rsidRDefault="00AD157A" w:rsidP="00AD157A">
      <w:pPr>
        <w:pStyle w:val="a4"/>
        <w:rPr>
          <w:rFonts w:ascii="David" w:hAnsi="David" w:cs="David"/>
        </w:rPr>
      </w:pPr>
    </w:p>
  </w:footnote>
  <w:footnote w:id="15">
    <w:p w14:paraId="46526819" w14:textId="0DA1885C" w:rsidR="00017341" w:rsidRPr="001F1DC1" w:rsidRDefault="00017341" w:rsidP="001F1DC1">
      <w:pPr>
        <w:pStyle w:val="a4"/>
        <w:spacing w:line="360" w:lineRule="auto"/>
        <w:rPr>
          <w:rFonts w:asciiTheme="majorBidi" w:hAnsiTheme="majorBidi" w:cstheme="majorBidi"/>
        </w:rPr>
      </w:pPr>
      <w:r w:rsidRPr="001F1DC1">
        <w:rPr>
          <w:rStyle w:val="a6"/>
          <w:rFonts w:asciiTheme="majorBidi" w:hAnsiTheme="majorBidi" w:cstheme="majorBidi"/>
        </w:rPr>
        <w:footnoteRef/>
      </w:r>
      <w:r w:rsidRPr="001F1DC1">
        <w:rPr>
          <w:rFonts w:asciiTheme="majorBidi" w:hAnsiTheme="majorBidi" w:cstheme="majorBidi"/>
          <w:rtl/>
        </w:rPr>
        <w:t xml:space="preserve"> מנחת חינוך מצוה רכד אות ב.</w:t>
      </w:r>
    </w:p>
  </w:footnote>
  <w:footnote w:id="16">
    <w:p w14:paraId="3DAD0AB2" w14:textId="5E24EE90" w:rsidR="007C6D62" w:rsidRPr="000439FA" w:rsidRDefault="007C6D62" w:rsidP="000439FA">
      <w:pPr>
        <w:pStyle w:val="a4"/>
        <w:spacing w:line="360" w:lineRule="auto"/>
        <w:rPr>
          <w:rFonts w:asciiTheme="majorBidi" w:hAnsiTheme="majorBidi" w:cstheme="majorBidi"/>
        </w:rPr>
      </w:pPr>
      <w:r w:rsidRPr="000439FA">
        <w:rPr>
          <w:rStyle w:val="a6"/>
          <w:rFonts w:asciiTheme="majorBidi" w:hAnsiTheme="majorBidi" w:cstheme="majorBidi"/>
        </w:rPr>
        <w:footnoteRef/>
      </w:r>
      <w:r w:rsidRPr="000439FA">
        <w:rPr>
          <w:rFonts w:asciiTheme="majorBidi" w:hAnsiTheme="majorBidi" w:cstheme="majorBidi"/>
          <w:rtl/>
        </w:rPr>
        <w:t xml:space="preserve"> בית יוסף חושן משפט סימן רסו ס"ק א.</w:t>
      </w:r>
    </w:p>
  </w:footnote>
  <w:footnote w:id="17">
    <w:p w14:paraId="19A057EA" w14:textId="2E5F7446" w:rsidR="00EE66A2" w:rsidRPr="000439FA" w:rsidRDefault="00EE66A2" w:rsidP="000439FA">
      <w:pPr>
        <w:pStyle w:val="a4"/>
        <w:spacing w:line="360" w:lineRule="auto"/>
        <w:rPr>
          <w:rFonts w:asciiTheme="majorBidi" w:hAnsiTheme="majorBidi" w:cstheme="majorBidi"/>
        </w:rPr>
      </w:pPr>
      <w:r w:rsidRPr="000439FA">
        <w:rPr>
          <w:rStyle w:val="a6"/>
          <w:rFonts w:asciiTheme="majorBidi" w:hAnsiTheme="majorBidi" w:cstheme="majorBidi"/>
        </w:rPr>
        <w:footnoteRef/>
      </w:r>
      <w:r w:rsidRPr="000439FA">
        <w:rPr>
          <w:rFonts w:asciiTheme="majorBidi" w:hAnsiTheme="majorBidi" w:cstheme="majorBidi"/>
          <w:rtl/>
        </w:rPr>
        <w:t xml:space="preserve"> על פי ים של שלמה סימן כ. רבי עקיבא מודה לזה לדעתו. </w:t>
      </w:r>
    </w:p>
  </w:footnote>
  <w:footnote w:id="18">
    <w:p w14:paraId="700D1FDB" w14:textId="44C6D207" w:rsidR="00EE66A2" w:rsidRPr="000439FA" w:rsidRDefault="00EE66A2" w:rsidP="000439FA">
      <w:pPr>
        <w:pStyle w:val="a4"/>
        <w:spacing w:line="360" w:lineRule="auto"/>
        <w:rPr>
          <w:rFonts w:asciiTheme="majorBidi" w:hAnsiTheme="majorBidi" w:cstheme="majorBidi"/>
          <w:rtl/>
        </w:rPr>
      </w:pPr>
      <w:r w:rsidRPr="000439FA">
        <w:rPr>
          <w:rStyle w:val="a6"/>
          <w:rFonts w:asciiTheme="majorBidi" w:hAnsiTheme="majorBidi" w:cstheme="majorBidi"/>
        </w:rPr>
        <w:footnoteRef/>
      </w:r>
      <w:r w:rsidRPr="000439FA">
        <w:rPr>
          <w:rFonts w:asciiTheme="majorBidi" w:hAnsiTheme="majorBidi" w:cstheme="majorBidi"/>
          <w:rtl/>
        </w:rPr>
        <w:t xml:space="preserve"> בשיטה מקובצת.</w:t>
      </w:r>
    </w:p>
  </w:footnote>
  <w:footnote w:id="19">
    <w:p w14:paraId="304B6F1E" w14:textId="0CF65002" w:rsidR="0081383D" w:rsidRPr="000439FA" w:rsidRDefault="0081383D" w:rsidP="000439FA">
      <w:pPr>
        <w:pStyle w:val="a4"/>
        <w:spacing w:line="360" w:lineRule="auto"/>
        <w:rPr>
          <w:rFonts w:asciiTheme="majorBidi" w:hAnsiTheme="majorBidi" w:cstheme="majorBidi"/>
        </w:rPr>
      </w:pPr>
      <w:r w:rsidRPr="000439FA">
        <w:rPr>
          <w:rStyle w:val="a6"/>
          <w:rFonts w:asciiTheme="majorBidi" w:hAnsiTheme="majorBidi" w:cstheme="majorBidi"/>
        </w:rPr>
        <w:footnoteRef/>
      </w:r>
      <w:r w:rsidRPr="000439FA">
        <w:rPr>
          <w:rFonts w:asciiTheme="majorBidi" w:hAnsiTheme="majorBidi" w:cstheme="majorBidi"/>
          <w:rtl/>
        </w:rPr>
        <w:t xml:space="preserve"> ד"ה שלא ימשכנו.</w:t>
      </w:r>
    </w:p>
  </w:footnote>
  <w:footnote w:id="20">
    <w:p w14:paraId="71278139" w14:textId="736FABDE" w:rsidR="0081383D" w:rsidRPr="000439FA" w:rsidRDefault="0081383D" w:rsidP="000439FA">
      <w:pPr>
        <w:pStyle w:val="a4"/>
        <w:spacing w:line="360" w:lineRule="auto"/>
        <w:rPr>
          <w:rFonts w:asciiTheme="majorBidi" w:hAnsiTheme="majorBidi" w:cstheme="majorBidi"/>
        </w:rPr>
      </w:pPr>
      <w:r w:rsidRPr="000439FA">
        <w:rPr>
          <w:rStyle w:val="a6"/>
          <w:rFonts w:asciiTheme="majorBidi" w:hAnsiTheme="majorBidi" w:cstheme="majorBidi"/>
        </w:rPr>
        <w:footnoteRef/>
      </w:r>
      <w:r w:rsidRPr="000439FA">
        <w:rPr>
          <w:rFonts w:asciiTheme="majorBidi" w:hAnsiTheme="majorBidi" w:cstheme="majorBidi"/>
          <w:rtl/>
        </w:rPr>
        <w:t xml:space="preserve"> שו"ת רדב"ז חלק ד סימן רה (אלף רעו).</w:t>
      </w:r>
    </w:p>
  </w:footnote>
  <w:footnote w:id="21">
    <w:p w14:paraId="51308E30" w14:textId="1E214FEC" w:rsidR="00BA5D44" w:rsidRPr="000439FA" w:rsidRDefault="00BA5D44" w:rsidP="000439FA">
      <w:pPr>
        <w:pStyle w:val="a4"/>
        <w:spacing w:line="360" w:lineRule="auto"/>
        <w:rPr>
          <w:rFonts w:asciiTheme="majorBidi" w:hAnsiTheme="majorBidi" w:cstheme="majorBidi"/>
        </w:rPr>
      </w:pPr>
      <w:r w:rsidRPr="000439FA">
        <w:rPr>
          <w:rStyle w:val="a6"/>
          <w:rFonts w:asciiTheme="majorBidi" w:hAnsiTheme="majorBidi" w:cstheme="majorBidi"/>
        </w:rPr>
        <w:footnoteRef/>
      </w:r>
      <w:r w:rsidRPr="000439FA">
        <w:rPr>
          <w:rFonts w:asciiTheme="majorBidi" w:hAnsiTheme="majorBidi" w:cstheme="majorBidi"/>
          <w:rtl/>
        </w:rPr>
        <w:t xml:space="preserve"> מסכת בכורות דף יג עמוד ב.</w:t>
      </w:r>
    </w:p>
  </w:footnote>
  <w:footnote w:id="22">
    <w:p w14:paraId="27EAD06B" w14:textId="7D5D4410" w:rsidR="00BA5D44" w:rsidRPr="000439FA" w:rsidRDefault="00BA5D44" w:rsidP="000439FA">
      <w:pPr>
        <w:pStyle w:val="a4"/>
        <w:spacing w:line="360" w:lineRule="auto"/>
        <w:rPr>
          <w:rFonts w:asciiTheme="majorBidi" w:hAnsiTheme="majorBidi" w:cstheme="majorBidi"/>
          <w:rtl/>
        </w:rPr>
      </w:pPr>
      <w:r w:rsidRPr="000439FA">
        <w:rPr>
          <w:rStyle w:val="a6"/>
          <w:rFonts w:asciiTheme="majorBidi" w:hAnsiTheme="majorBidi" w:cstheme="majorBidi"/>
        </w:rPr>
        <w:footnoteRef/>
      </w:r>
      <w:r w:rsidRPr="000439FA">
        <w:rPr>
          <w:rFonts w:asciiTheme="majorBidi" w:hAnsiTheme="majorBidi" w:cstheme="majorBidi"/>
          <w:rtl/>
        </w:rPr>
        <w:t xml:space="preserve"> שו"ת חכם צבי סימן כו.</w:t>
      </w:r>
    </w:p>
  </w:footnote>
  <w:footnote w:id="23">
    <w:p w14:paraId="63D468FA" w14:textId="7C5E32BB" w:rsidR="00AE6E37" w:rsidRPr="000439FA" w:rsidRDefault="00AE6E37" w:rsidP="000439FA">
      <w:pPr>
        <w:spacing w:after="0" w:line="360" w:lineRule="auto"/>
        <w:rPr>
          <w:rFonts w:asciiTheme="majorBidi" w:hAnsiTheme="majorBidi" w:cstheme="majorBidi"/>
          <w:sz w:val="20"/>
          <w:szCs w:val="20"/>
        </w:rPr>
      </w:pPr>
      <w:r w:rsidRPr="000439FA">
        <w:rPr>
          <w:rStyle w:val="a6"/>
          <w:rFonts w:asciiTheme="majorBidi" w:hAnsiTheme="majorBidi" w:cstheme="majorBidi"/>
          <w:sz w:val="20"/>
          <w:szCs w:val="20"/>
        </w:rPr>
        <w:footnoteRef/>
      </w:r>
      <w:r w:rsidRPr="000439FA">
        <w:rPr>
          <w:rFonts w:asciiTheme="majorBidi" w:hAnsiTheme="majorBidi" w:cstheme="majorBidi"/>
          <w:sz w:val="20"/>
          <w:szCs w:val="20"/>
          <w:rtl/>
        </w:rPr>
        <w:t xml:space="preserve"> מסכת בבא מציעא דף פז עמוד ב.</w:t>
      </w:r>
    </w:p>
  </w:footnote>
  <w:footnote w:id="24">
    <w:p w14:paraId="76626AB9" w14:textId="44CD2845" w:rsidR="00AE6E37" w:rsidRPr="000439FA" w:rsidRDefault="00AE6E37" w:rsidP="000439FA">
      <w:pPr>
        <w:spacing w:after="0" w:line="360" w:lineRule="auto"/>
        <w:rPr>
          <w:rFonts w:asciiTheme="majorBidi" w:hAnsiTheme="majorBidi" w:cstheme="majorBidi"/>
          <w:sz w:val="20"/>
          <w:szCs w:val="20"/>
          <w:rtl/>
        </w:rPr>
      </w:pPr>
      <w:r w:rsidRPr="000439FA">
        <w:rPr>
          <w:rStyle w:val="a6"/>
          <w:rFonts w:asciiTheme="majorBidi" w:hAnsiTheme="majorBidi" w:cstheme="majorBidi"/>
          <w:sz w:val="20"/>
          <w:szCs w:val="20"/>
        </w:rPr>
        <w:footnoteRef/>
      </w:r>
      <w:r w:rsidRPr="000439FA">
        <w:rPr>
          <w:rFonts w:asciiTheme="majorBidi" w:hAnsiTheme="majorBidi" w:cstheme="majorBidi"/>
          <w:sz w:val="20"/>
          <w:szCs w:val="20"/>
          <w:rtl/>
        </w:rPr>
        <w:t xml:space="preserve"> שער המלך הלכות גזלה ואבדה פרק א הלכה ב.</w:t>
      </w:r>
    </w:p>
  </w:footnote>
  <w:footnote w:id="25">
    <w:p w14:paraId="14172AA1" w14:textId="0E7AFB6C" w:rsidR="00B6377B" w:rsidRPr="000439FA" w:rsidRDefault="00B6377B" w:rsidP="000439FA">
      <w:pPr>
        <w:pStyle w:val="a4"/>
        <w:spacing w:line="360" w:lineRule="auto"/>
        <w:rPr>
          <w:rFonts w:asciiTheme="majorBidi" w:hAnsiTheme="majorBidi" w:cstheme="majorBidi"/>
        </w:rPr>
      </w:pPr>
      <w:r w:rsidRPr="000439FA">
        <w:rPr>
          <w:rStyle w:val="a6"/>
          <w:rFonts w:asciiTheme="majorBidi" w:hAnsiTheme="majorBidi" w:cstheme="majorBidi"/>
        </w:rPr>
        <w:footnoteRef/>
      </w:r>
      <w:r w:rsidRPr="000439FA">
        <w:rPr>
          <w:rFonts w:asciiTheme="majorBidi" w:hAnsiTheme="majorBidi" w:cstheme="majorBidi"/>
          <w:rtl/>
        </w:rPr>
        <w:t xml:space="preserve"> מסכת בבא מציעא דף פז עמוד ב ד"ה אלא למ"ד. </w:t>
      </w:r>
    </w:p>
  </w:footnote>
  <w:footnote w:id="26">
    <w:p w14:paraId="7A73C2A9" w14:textId="26ED5980" w:rsidR="00B6377B" w:rsidRPr="000439FA" w:rsidRDefault="00B6377B" w:rsidP="000439FA">
      <w:pPr>
        <w:pStyle w:val="a4"/>
        <w:spacing w:line="360" w:lineRule="auto"/>
        <w:rPr>
          <w:rFonts w:asciiTheme="majorBidi" w:hAnsiTheme="majorBidi" w:cstheme="majorBidi"/>
          <w:rtl/>
        </w:rPr>
      </w:pPr>
      <w:r w:rsidRPr="000439FA">
        <w:rPr>
          <w:rStyle w:val="a6"/>
          <w:rFonts w:asciiTheme="majorBidi" w:hAnsiTheme="majorBidi" w:cstheme="majorBidi"/>
        </w:rPr>
        <w:footnoteRef/>
      </w:r>
      <w:r w:rsidRPr="000439FA">
        <w:rPr>
          <w:rFonts w:asciiTheme="majorBidi" w:hAnsiTheme="majorBidi" w:cstheme="majorBidi"/>
          <w:rtl/>
        </w:rPr>
        <w:t xml:space="preserve"> </w:t>
      </w:r>
      <w:r w:rsidR="000439FA" w:rsidRPr="000439FA">
        <w:rPr>
          <w:rFonts w:asciiTheme="majorBidi" w:hAnsiTheme="majorBidi" w:cstheme="majorBidi"/>
          <w:rtl/>
        </w:rPr>
        <w:t>מרומי שדה.</w:t>
      </w:r>
    </w:p>
  </w:footnote>
  <w:footnote w:id="27">
    <w:p w14:paraId="1644FA59" w14:textId="0A706C8D" w:rsidR="00B6377B" w:rsidRPr="000439FA" w:rsidRDefault="00B6377B" w:rsidP="000439FA">
      <w:pPr>
        <w:pStyle w:val="a4"/>
        <w:spacing w:line="360" w:lineRule="auto"/>
        <w:rPr>
          <w:rFonts w:asciiTheme="majorBidi" w:hAnsiTheme="majorBidi" w:cstheme="majorBidi"/>
          <w:rtl/>
        </w:rPr>
      </w:pPr>
      <w:r w:rsidRPr="000439FA">
        <w:rPr>
          <w:rStyle w:val="a6"/>
          <w:rFonts w:asciiTheme="majorBidi" w:hAnsiTheme="majorBidi" w:cstheme="majorBidi"/>
        </w:rPr>
        <w:footnoteRef/>
      </w:r>
      <w:r w:rsidRPr="000439FA">
        <w:rPr>
          <w:rFonts w:asciiTheme="majorBidi" w:hAnsiTheme="majorBidi" w:cstheme="majorBidi"/>
          <w:rtl/>
        </w:rPr>
        <w:t xml:space="preserve"> בירור הלכה  אות א. שם מציעים לחלק ששורש האיסור הוא חילול ה', אבל האיסור מתפשט גם למקום שאין חילול ה'.</w:t>
      </w:r>
    </w:p>
  </w:footnote>
  <w:footnote w:id="28">
    <w:p w14:paraId="0D06D2C1" w14:textId="71C2F0E4" w:rsidR="00C6077E" w:rsidRPr="000439FA" w:rsidRDefault="00C6077E" w:rsidP="00165420">
      <w:pPr>
        <w:pStyle w:val="a4"/>
        <w:spacing w:line="360" w:lineRule="auto"/>
        <w:rPr>
          <w:rFonts w:asciiTheme="majorBidi" w:hAnsiTheme="majorBidi" w:cstheme="majorBidi"/>
        </w:rPr>
      </w:pPr>
      <w:r w:rsidRPr="000439FA">
        <w:rPr>
          <w:rStyle w:val="a6"/>
          <w:rFonts w:asciiTheme="majorBidi" w:hAnsiTheme="majorBidi" w:cstheme="majorBidi"/>
        </w:rPr>
        <w:footnoteRef/>
      </w:r>
      <w:r w:rsidRPr="000439FA">
        <w:rPr>
          <w:rFonts w:asciiTheme="majorBidi" w:hAnsiTheme="majorBidi" w:cstheme="majorBidi"/>
          <w:rtl/>
        </w:rPr>
        <w:t xml:space="preserve"> מסכת בבא מציעא דף קיא עמוד ב.</w:t>
      </w:r>
    </w:p>
  </w:footnote>
  <w:footnote w:id="29">
    <w:p w14:paraId="616FA4E7" w14:textId="32970573" w:rsidR="00165420" w:rsidRPr="00165420" w:rsidRDefault="00525FFD" w:rsidP="00165420">
      <w:pPr>
        <w:spacing w:after="0" w:line="360" w:lineRule="auto"/>
        <w:rPr>
          <w:rFonts w:asciiTheme="majorBidi" w:hAnsiTheme="majorBidi" w:cstheme="majorBidi"/>
          <w:sz w:val="16"/>
          <w:szCs w:val="16"/>
        </w:rPr>
      </w:pPr>
      <w:r w:rsidRPr="000439FA">
        <w:rPr>
          <w:rStyle w:val="a6"/>
          <w:rFonts w:asciiTheme="majorBidi" w:hAnsiTheme="majorBidi" w:cstheme="majorBidi"/>
          <w:sz w:val="20"/>
          <w:szCs w:val="20"/>
        </w:rPr>
        <w:footnoteRef/>
      </w:r>
      <w:r w:rsidRPr="000439FA">
        <w:rPr>
          <w:rFonts w:asciiTheme="majorBidi" w:hAnsiTheme="majorBidi" w:cstheme="majorBidi"/>
          <w:sz w:val="20"/>
          <w:szCs w:val="20"/>
          <w:rtl/>
        </w:rPr>
        <w:t xml:space="preserve"> רמב"ם הלכות גניבה פרק א הלכה א. כן עולה מכמה מקורות: אליהו רבה (טו), רשב"א </w:t>
      </w:r>
      <w:r w:rsidRPr="00165420">
        <w:rPr>
          <w:rFonts w:asciiTheme="majorBidi" w:hAnsiTheme="majorBidi" w:cstheme="majorBidi"/>
          <w:sz w:val="16"/>
          <w:szCs w:val="16"/>
          <w:rtl/>
        </w:rPr>
        <w:t xml:space="preserve">(שו"ת, א תתנ"ב), </w:t>
      </w:r>
      <w:r w:rsidRPr="000439FA">
        <w:rPr>
          <w:rFonts w:asciiTheme="majorBidi" w:hAnsiTheme="majorBidi" w:cstheme="majorBidi"/>
          <w:sz w:val="20"/>
          <w:szCs w:val="20"/>
          <w:rtl/>
        </w:rPr>
        <w:t>חסדי דוד (</w:t>
      </w:r>
      <w:r w:rsidRPr="00165420">
        <w:rPr>
          <w:rFonts w:asciiTheme="majorBidi" w:hAnsiTheme="majorBidi" w:cstheme="majorBidi"/>
          <w:sz w:val="16"/>
          <w:szCs w:val="16"/>
          <w:rtl/>
        </w:rPr>
        <w:t>תוספתא פרק י, ד"ה הגוזל את הרבים).</w:t>
      </w:r>
    </w:p>
  </w:footnote>
  <w:footnote w:id="30">
    <w:p w14:paraId="35327B74" w14:textId="26DFC634" w:rsidR="00F40B00" w:rsidRPr="00765CF1" w:rsidRDefault="00F40B00" w:rsidP="00165420">
      <w:pPr>
        <w:spacing w:after="0" w:line="360" w:lineRule="auto"/>
        <w:rPr>
          <w:rFonts w:asciiTheme="majorBidi" w:hAnsiTheme="majorBidi" w:cstheme="majorBidi"/>
          <w:sz w:val="20"/>
          <w:szCs w:val="20"/>
        </w:rPr>
      </w:pPr>
      <w:r w:rsidRPr="00F40B00">
        <w:rPr>
          <w:rStyle w:val="a6"/>
          <w:sz w:val="20"/>
          <w:szCs w:val="20"/>
        </w:rPr>
        <w:footnoteRef/>
      </w:r>
      <w:r w:rsidRPr="00F40B00">
        <w:rPr>
          <w:sz w:val="20"/>
          <w:szCs w:val="20"/>
          <w:rtl/>
        </w:rPr>
        <w:t xml:space="preserve"> </w:t>
      </w:r>
      <w:r w:rsidRPr="00F40B00">
        <w:rPr>
          <w:rFonts w:asciiTheme="majorBidi" w:hAnsiTheme="majorBidi" w:cs="Times New Roman"/>
          <w:sz w:val="20"/>
          <w:szCs w:val="20"/>
          <w:rtl/>
        </w:rPr>
        <w:t>רמב"ם הלכות גזלה ואבדה פרק א הלכה ב</w:t>
      </w:r>
      <w:r w:rsidRPr="00F40B00">
        <w:rPr>
          <w:rFonts w:asciiTheme="majorBidi" w:hAnsiTheme="majorBidi" w:cstheme="majorBidi" w:hint="cs"/>
          <w:sz w:val="20"/>
          <w:szCs w:val="20"/>
          <w:rtl/>
        </w:rPr>
        <w:t>.</w:t>
      </w:r>
    </w:p>
  </w:footnote>
  <w:footnote w:id="31">
    <w:p w14:paraId="5B874B25" w14:textId="549D478E" w:rsidR="00FC720E" w:rsidRPr="00765CF1" w:rsidRDefault="00FC720E" w:rsidP="00430CFD">
      <w:pPr>
        <w:pStyle w:val="a4"/>
        <w:rPr>
          <w:rFonts w:asciiTheme="majorBidi" w:hAnsiTheme="majorBidi" w:cstheme="majorBidi"/>
          <w:rtl/>
        </w:rPr>
      </w:pPr>
      <w:r>
        <w:rPr>
          <w:rStyle w:val="a6"/>
        </w:rPr>
        <w:footnoteRef/>
      </w:r>
      <w:r>
        <w:rPr>
          <w:rtl/>
        </w:rPr>
        <w:t xml:space="preserve"> </w:t>
      </w:r>
      <w:r w:rsidRPr="00765CF1">
        <w:rPr>
          <w:rFonts w:asciiTheme="majorBidi" w:hAnsiTheme="majorBidi" w:cstheme="majorBidi"/>
          <w:rtl/>
        </w:rPr>
        <w:t>שו"ת נודע ביהודה מהדורא קמא - יורה דעה סימן פא. הרדב"ז גם סבור כך, אך הוא מעיר שאין נפקא מינה, שכן גם על הלאו לא לוקים, בהיותו ניתק לעשה.</w:t>
      </w:r>
    </w:p>
  </w:footnote>
  <w:footnote w:id="32">
    <w:p w14:paraId="1D3EF892" w14:textId="26DEA680" w:rsidR="00FC720E" w:rsidRPr="00765CF1" w:rsidRDefault="00FC720E" w:rsidP="00165420">
      <w:pPr>
        <w:pStyle w:val="a4"/>
        <w:spacing w:line="360" w:lineRule="auto"/>
        <w:rPr>
          <w:rFonts w:asciiTheme="majorBidi" w:hAnsiTheme="majorBidi" w:cstheme="majorBidi"/>
        </w:rPr>
      </w:pPr>
      <w:r w:rsidRPr="00765CF1">
        <w:rPr>
          <w:rStyle w:val="a6"/>
          <w:rFonts w:asciiTheme="majorBidi" w:hAnsiTheme="majorBidi" w:cstheme="majorBidi"/>
        </w:rPr>
        <w:footnoteRef/>
      </w:r>
      <w:r w:rsidRPr="00765CF1">
        <w:rPr>
          <w:rFonts w:asciiTheme="majorBidi" w:hAnsiTheme="majorBidi" w:cstheme="majorBidi"/>
          <w:rtl/>
        </w:rPr>
        <w:t xml:space="preserve"> תוספות דף קיג עמוד ב ד"ה יכול.</w:t>
      </w:r>
    </w:p>
  </w:footnote>
  <w:footnote w:id="33">
    <w:p w14:paraId="290705CC" w14:textId="77F84C1C" w:rsidR="00FC720E" w:rsidRPr="00765CF1" w:rsidRDefault="00FC720E" w:rsidP="00165420">
      <w:pPr>
        <w:pStyle w:val="a4"/>
        <w:spacing w:line="360" w:lineRule="auto"/>
        <w:rPr>
          <w:rFonts w:asciiTheme="majorBidi" w:hAnsiTheme="majorBidi" w:cstheme="majorBidi"/>
        </w:rPr>
      </w:pPr>
      <w:r w:rsidRPr="00765CF1">
        <w:rPr>
          <w:rStyle w:val="a6"/>
          <w:rFonts w:asciiTheme="majorBidi" w:hAnsiTheme="majorBidi" w:cstheme="majorBidi"/>
        </w:rPr>
        <w:footnoteRef/>
      </w:r>
      <w:r w:rsidRPr="00765CF1">
        <w:rPr>
          <w:rFonts w:asciiTheme="majorBidi" w:hAnsiTheme="majorBidi" w:cstheme="majorBidi"/>
          <w:rtl/>
        </w:rPr>
        <w:t xml:space="preserve"> הנצי"ב גורס בדברי הב"י: "אין זה אלא איסור מהתורה".</w:t>
      </w:r>
    </w:p>
  </w:footnote>
  <w:footnote w:id="34">
    <w:p w14:paraId="382C96BC" w14:textId="4BE53C95" w:rsidR="00FC720E" w:rsidRDefault="00FC720E" w:rsidP="00165420">
      <w:pPr>
        <w:pStyle w:val="a4"/>
        <w:spacing w:line="360" w:lineRule="auto"/>
        <w:rPr>
          <w:rFonts w:asciiTheme="majorBidi" w:hAnsiTheme="majorBidi" w:cstheme="majorBidi"/>
          <w:rtl/>
        </w:rPr>
      </w:pPr>
      <w:r w:rsidRPr="00765CF1">
        <w:rPr>
          <w:rStyle w:val="a6"/>
          <w:rFonts w:asciiTheme="majorBidi" w:hAnsiTheme="majorBidi" w:cstheme="majorBidi"/>
        </w:rPr>
        <w:footnoteRef/>
      </w:r>
      <w:r w:rsidRPr="00765CF1">
        <w:rPr>
          <w:rFonts w:asciiTheme="majorBidi" w:hAnsiTheme="majorBidi" w:cstheme="majorBidi"/>
          <w:rtl/>
        </w:rPr>
        <w:t xml:space="preserve"> שפתח הרמב"ם:  </w:t>
      </w:r>
      <w:r w:rsidRPr="00765CF1">
        <w:rPr>
          <w:rFonts w:ascii="David" w:hAnsi="David" w:cs="David"/>
          <w:rtl/>
        </w:rPr>
        <w:t xml:space="preserve">"כל הגוזל את </w:t>
      </w:r>
      <w:r w:rsidRPr="00765CF1">
        <w:rPr>
          <w:rFonts w:ascii="David" w:hAnsi="David" w:cs="David"/>
          <w:b/>
          <w:bCs/>
          <w:rtl/>
        </w:rPr>
        <w:t>חבירו</w:t>
      </w:r>
      <w:r w:rsidRPr="00765CF1">
        <w:rPr>
          <w:rFonts w:ascii="David" w:hAnsi="David" w:cs="David"/>
          <w:rtl/>
        </w:rPr>
        <w:t xml:space="preserve"> שוה פרוטה עובר בלא תעשה".(</w:t>
      </w:r>
      <w:r w:rsidRPr="00765CF1">
        <w:rPr>
          <w:rFonts w:asciiTheme="majorBidi" w:hAnsiTheme="majorBidi" w:cstheme="majorBidi"/>
          <w:rtl/>
        </w:rPr>
        <w:t xml:space="preserve">הלכות גזלה ואבדה פרק א הלכה א). בבית שמואל </w:t>
      </w:r>
      <w:r w:rsidRPr="00765CF1">
        <w:rPr>
          <w:rFonts w:asciiTheme="majorBidi" w:hAnsiTheme="majorBidi" w:cstheme="majorBidi"/>
          <w:sz w:val="16"/>
          <w:szCs w:val="16"/>
          <w:rtl/>
        </w:rPr>
        <w:t xml:space="preserve">(אבן העזר כח ס"ק ה) </w:t>
      </w:r>
      <w:r w:rsidRPr="00765CF1">
        <w:rPr>
          <w:rFonts w:asciiTheme="majorBidi" w:hAnsiTheme="majorBidi" w:cstheme="majorBidi"/>
          <w:rtl/>
        </w:rPr>
        <w:t xml:space="preserve">הבין שכוונת הב"י רק לעושק, אך בגזל האיסור מן התורה. </w:t>
      </w:r>
    </w:p>
    <w:p w14:paraId="44702D6C" w14:textId="77777777" w:rsidR="00FC720E" w:rsidRPr="00765CF1" w:rsidRDefault="00FC720E" w:rsidP="00765CF1">
      <w:pPr>
        <w:pStyle w:val="a4"/>
        <w:rPr>
          <w:rFonts w:asciiTheme="majorBidi" w:hAnsiTheme="majorBidi" w:cstheme="majorBidi"/>
          <w:rtl/>
        </w:rPr>
      </w:pPr>
    </w:p>
  </w:footnote>
  <w:footnote w:id="35">
    <w:p w14:paraId="756D0B08" w14:textId="54D6734B" w:rsidR="00FC720E" w:rsidRPr="00165420" w:rsidRDefault="00FC720E">
      <w:pPr>
        <w:pStyle w:val="a4"/>
        <w:rPr>
          <w:rFonts w:asciiTheme="majorBidi" w:hAnsiTheme="majorBidi" w:cstheme="majorBidi"/>
          <w:b/>
          <w:bCs/>
          <w:rtl/>
        </w:rPr>
      </w:pPr>
      <w:r w:rsidRPr="00765CF1">
        <w:rPr>
          <w:rStyle w:val="a6"/>
          <w:rFonts w:asciiTheme="majorBidi" w:hAnsiTheme="majorBidi" w:cstheme="majorBidi"/>
        </w:rPr>
        <w:footnoteRef/>
      </w:r>
      <w:r w:rsidRPr="00765CF1">
        <w:rPr>
          <w:rFonts w:asciiTheme="majorBidi" w:hAnsiTheme="majorBidi" w:cstheme="majorBidi"/>
          <w:rtl/>
        </w:rPr>
        <w:t xml:space="preserve"> בקדושת יום טוב מוכיח זאת מהלכה שפוסק הרמב"ם </w:t>
      </w:r>
      <w:r w:rsidRPr="00765CF1">
        <w:rPr>
          <w:rFonts w:asciiTheme="majorBidi" w:hAnsiTheme="majorBidi" w:cstheme="majorBidi"/>
          <w:sz w:val="16"/>
          <w:szCs w:val="16"/>
          <w:rtl/>
        </w:rPr>
        <w:t>(גזילה פרק ז הלכה ז)</w:t>
      </w:r>
      <w:r w:rsidRPr="00765CF1">
        <w:rPr>
          <w:rFonts w:asciiTheme="majorBidi" w:hAnsiTheme="majorBidi" w:cstheme="majorBidi"/>
          <w:rtl/>
        </w:rPr>
        <w:t xml:space="preserve"> שנשבע לגוי משלם קרן ורק פטור מחומש. </w:t>
      </w:r>
      <w:r w:rsidRPr="00165420">
        <w:rPr>
          <w:rFonts w:asciiTheme="majorBidi" w:hAnsiTheme="majorBidi" w:cstheme="majorBidi"/>
          <w:b/>
          <w:bCs/>
          <w:rtl/>
        </w:rPr>
        <w:t xml:space="preserve">לדעתו אפילו הפקעת הלוואה הותרה רק לפי רבא, אולם רב אשי וסתם הגמרא חולקים בזה ודינה </w:t>
      </w:r>
      <w:r>
        <w:rPr>
          <w:rFonts w:asciiTheme="majorBidi" w:hAnsiTheme="majorBidi" w:cstheme="majorBidi" w:hint="cs"/>
          <w:b/>
          <w:bCs/>
          <w:rtl/>
        </w:rPr>
        <w:t xml:space="preserve">להלכה </w:t>
      </w:r>
      <w:r w:rsidRPr="00165420">
        <w:rPr>
          <w:rFonts w:asciiTheme="majorBidi" w:hAnsiTheme="majorBidi" w:cstheme="majorBidi"/>
          <w:b/>
          <w:bCs/>
          <w:rtl/>
        </w:rPr>
        <w:t>כגזל.</w:t>
      </w:r>
      <w:r w:rsidRPr="00165420">
        <w:rPr>
          <w:rFonts w:asciiTheme="majorBidi" w:hAnsiTheme="majorBidi" w:cstheme="majorBidi" w:hint="cs"/>
          <w:b/>
          <w:bCs/>
          <w:rtl/>
        </w:rPr>
        <w:t xml:space="preserve"> בזה ניתן לבאר את השמטות  הרי"ף והרמב"ם להלכה של הפקעת הלוואה.</w:t>
      </w:r>
    </w:p>
    <w:p w14:paraId="414AD3F2" w14:textId="77777777" w:rsidR="00FC720E" w:rsidRPr="00765CF1" w:rsidRDefault="00FC720E">
      <w:pPr>
        <w:pStyle w:val="a4"/>
        <w:rPr>
          <w:rFonts w:asciiTheme="majorBidi" w:hAnsiTheme="majorBidi" w:cstheme="majorBidi"/>
          <w:rtl/>
        </w:rPr>
      </w:pPr>
    </w:p>
  </w:footnote>
  <w:footnote w:id="36">
    <w:p w14:paraId="6B320E34" w14:textId="36D94A95" w:rsidR="00FC720E" w:rsidRPr="00765CF1" w:rsidRDefault="00FC720E" w:rsidP="00F06521">
      <w:pPr>
        <w:pStyle w:val="a4"/>
        <w:spacing w:line="360" w:lineRule="auto"/>
        <w:rPr>
          <w:rFonts w:asciiTheme="majorBidi" w:hAnsiTheme="majorBidi" w:cstheme="majorBidi"/>
        </w:rPr>
      </w:pPr>
      <w:r w:rsidRPr="00765CF1">
        <w:rPr>
          <w:rStyle w:val="a6"/>
          <w:rFonts w:asciiTheme="majorBidi" w:hAnsiTheme="majorBidi" w:cstheme="majorBidi"/>
        </w:rPr>
        <w:footnoteRef/>
      </w:r>
      <w:r w:rsidRPr="00765CF1">
        <w:rPr>
          <w:rFonts w:asciiTheme="majorBidi" w:hAnsiTheme="majorBidi" w:cstheme="majorBidi"/>
          <w:rtl/>
        </w:rPr>
        <w:t xml:space="preserve"> </w:t>
      </w:r>
      <w:r>
        <w:rPr>
          <w:rFonts w:ascii="David" w:hAnsi="David" w:cs="David" w:hint="cs"/>
          <w:rtl/>
        </w:rPr>
        <w:t>"</w:t>
      </w:r>
      <w:r w:rsidRPr="00765CF1">
        <w:rPr>
          <w:rFonts w:ascii="David" w:hAnsi="David" w:cs="David"/>
          <w:rtl/>
        </w:rPr>
        <w:t>לדינא הרש"י והטור והרמב"ם שוים דאינו אסור אלא מדרבנן</w:t>
      </w:r>
      <w:r>
        <w:rPr>
          <w:rFonts w:asciiTheme="majorBidi" w:hAnsiTheme="majorBidi" w:cstheme="majorBidi" w:hint="cs"/>
          <w:rtl/>
        </w:rPr>
        <w:t xml:space="preserve">" </w:t>
      </w:r>
      <w:r w:rsidRPr="00765CF1">
        <w:rPr>
          <w:rFonts w:asciiTheme="majorBidi" w:hAnsiTheme="majorBidi" w:cstheme="majorBidi"/>
          <w:rtl/>
        </w:rPr>
        <w:t>(שו"ת שער אפרים סימן ב)</w:t>
      </w:r>
      <w:r>
        <w:rPr>
          <w:rFonts w:asciiTheme="majorBidi" w:hAnsiTheme="majorBidi" w:cstheme="majorBidi" w:hint="cs"/>
          <w:rtl/>
        </w:rPr>
        <w:t xml:space="preserve">, אלא שלרש"י הוא משום חילול ה', ולדעת האחרים משום כיעור. אם האיסור דרבנן, מובן פסק הרמ"א לתקף קידושין בגזל הגוי. </w:t>
      </w:r>
    </w:p>
  </w:footnote>
  <w:footnote w:id="37">
    <w:p w14:paraId="25BA6F56" w14:textId="006FB61E" w:rsidR="00F06521" w:rsidRPr="00F06521" w:rsidRDefault="00F06521" w:rsidP="00F06521">
      <w:pPr>
        <w:spacing w:after="0" w:line="360" w:lineRule="auto"/>
        <w:rPr>
          <w:rFonts w:asciiTheme="majorBidi" w:hAnsiTheme="majorBidi" w:cstheme="majorBidi"/>
          <w:sz w:val="20"/>
          <w:szCs w:val="20"/>
        </w:rPr>
      </w:pPr>
      <w:r w:rsidRPr="00F06521">
        <w:rPr>
          <w:rStyle w:val="a6"/>
          <w:sz w:val="20"/>
          <w:szCs w:val="20"/>
        </w:rPr>
        <w:footnoteRef/>
      </w:r>
      <w:r w:rsidRPr="00F06521">
        <w:rPr>
          <w:sz w:val="20"/>
          <w:szCs w:val="20"/>
          <w:rtl/>
        </w:rPr>
        <w:t xml:space="preserve"> </w:t>
      </w:r>
      <w:r w:rsidRPr="00F06521">
        <w:rPr>
          <w:rFonts w:asciiTheme="majorBidi" w:hAnsiTheme="majorBidi" w:cs="Times New Roman"/>
          <w:sz w:val="20"/>
          <w:szCs w:val="20"/>
          <w:rtl/>
        </w:rPr>
        <w:t>תוספתא</w:t>
      </w:r>
      <w:r w:rsidRPr="00F06521">
        <w:rPr>
          <w:rFonts w:asciiTheme="majorBidi" w:hAnsiTheme="majorBidi" w:cs="Times New Roman" w:hint="cs"/>
          <w:sz w:val="20"/>
          <w:szCs w:val="20"/>
          <w:rtl/>
        </w:rPr>
        <w:t xml:space="preserve"> </w:t>
      </w:r>
      <w:r w:rsidRPr="00F06521">
        <w:rPr>
          <w:rFonts w:asciiTheme="majorBidi" w:hAnsiTheme="majorBidi" w:cs="Times New Roman"/>
          <w:sz w:val="20"/>
          <w:szCs w:val="20"/>
          <w:rtl/>
        </w:rPr>
        <w:t>פרק י</w:t>
      </w:r>
      <w:r w:rsidRPr="00F06521">
        <w:rPr>
          <w:rFonts w:asciiTheme="majorBidi" w:hAnsiTheme="majorBidi" w:cstheme="majorBidi" w:hint="cs"/>
          <w:sz w:val="20"/>
          <w:szCs w:val="20"/>
          <w:rtl/>
        </w:rPr>
        <w:t xml:space="preserve"> הלכה טו.</w:t>
      </w:r>
    </w:p>
  </w:footnote>
  <w:footnote w:id="38">
    <w:p w14:paraId="48E1EF3B" w14:textId="58AA47E8" w:rsidR="00F06521" w:rsidRPr="00F06521" w:rsidRDefault="00F06521" w:rsidP="00F06521">
      <w:pPr>
        <w:spacing w:after="0" w:line="360" w:lineRule="auto"/>
        <w:rPr>
          <w:rFonts w:asciiTheme="majorBidi" w:hAnsiTheme="majorBidi" w:cstheme="majorBidi"/>
          <w:sz w:val="20"/>
          <w:szCs w:val="20"/>
          <w:rtl/>
        </w:rPr>
      </w:pPr>
      <w:r>
        <w:rPr>
          <w:rStyle w:val="a6"/>
        </w:rPr>
        <w:footnoteRef/>
      </w:r>
      <w:r>
        <w:rPr>
          <w:rtl/>
        </w:rPr>
        <w:t xml:space="preserve"> </w:t>
      </w:r>
      <w:r w:rsidRPr="00F06521">
        <w:rPr>
          <w:rFonts w:asciiTheme="majorBidi" w:hAnsiTheme="majorBidi" w:cs="Times New Roman"/>
          <w:sz w:val="20"/>
          <w:szCs w:val="20"/>
          <w:rtl/>
        </w:rPr>
        <w:t>מנחת חינוך פרשת ויקרא מצוה קל אות א</w:t>
      </w:r>
      <w:r>
        <w:rPr>
          <w:rFonts w:asciiTheme="majorBidi" w:hAnsiTheme="majorBidi" w:cs="Times New Roman" w:hint="cs"/>
          <w:sz w:val="20"/>
          <w:szCs w:val="20"/>
          <w:rtl/>
        </w:rPr>
        <w:t>.</w:t>
      </w:r>
    </w:p>
    <w:p w14:paraId="573F602F" w14:textId="1EA37943" w:rsidR="00F06521" w:rsidRDefault="00F06521">
      <w:pPr>
        <w:pStyle w:val="a4"/>
      </w:pPr>
    </w:p>
  </w:footnote>
  <w:footnote w:id="39">
    <w:p w14:paraId="18566EEF" w14:textId="24389C2D" w:rsidR="00AE4EF7" w:rsidRPr="006D15A7" w:rsidRDefault="00AE4EF7" w:rsidP="006D15A7">
      <w:pPr>
        <w:pStyle w:val="a4"/>
        <w:spacing w:line="360" w:lineRule="auto"/>
        <w:rPr>
          <w:rFonts w:asciiTheme="majorBidi" w:hAnsiTheme="majorBidi" w:cstheme="majorBidi"/>
          <w:rtl/>
        </w:rPr>
      </w:pPr>
      <w:r w:rsidRPr="006D15A7">
        <w:rPr>
          <w:rStyle w:val="a6"/>
          <w:rFonts w:asciiTheme="majorBidi" w:hAnsiTheme="majorBidi" w:cstheme="majorBidi"/>
        </w:rPr>
        <w:footnoteRef/>
      </w:r>
      <w:r w:rsidRPr="006D15A7">
        <w:rPr>
          <w:rFonts w:asciiTheme="majorBidi" w:hAnsiTheme="majorBidi" w:cstheme="majorBidi"/>
          <w:rtl/>
        </w:rPr>
        <w:t xml:space="preserve"> שו"ת נודע ביהודה מהדורא קמא - יורה דעה סימן פא.</w:t>
      </w:r>
    </w:p>
  </w:footnote>
  <w:footnote w:id="40">
    <w:p w14:paraId="4DA38813" w14:textId="7FE50BF5" w:rsidR="00C62090" w:rsidRPr="006D15A7" w:rsidRDefault="00C62090" w:rsidP="006D15A7">
      <w:pPr>
        <w:pStyle w:val="a4"/>
        <w:spacing w:line="360" w:lineRule="auto"/>
        <w:rPr>
          <w:rFonts w:asciiTheme="majorBidi" w:hAnsiTheme="majorBidi" w:cstheme="majorBidi"/>
        </w:rPr>
      </w:pPr>
      <w:r w:rsidRPr="006D15A7">
        <w:rPr>
          <w:rStyle w:val="a6"/>
          <w:rFonts w:asciiTheme="majorBidi" w:hAnsiTheme="majorBidi" w:cstheme="majorBidi"/>
        </w:rPr>
        <w:footnoteRef/>
      </w:r>
      <w:r w:rsidRPr="006D15A7">
        <w:rPr>
          <w:rFonts w:asciiTheme="majorBidi" w:hAnsiTheme="majorBidi" w:cstheme="majorBidi"/>
          <w:rtl/>
        </w:rPr>
        <w:t xml:space="preserve"> הערה</w:t>
      </w:r>
    </w:p>
  </w:footnote>
  <w:footnote w:id="41">
    <w:p w14:paraId="6085EC74" w14:textId="08C0B55C" w:rsidR="00C62090" w:rsidRPr="006D15A7" w:rsidRDefault="00C62090" w:rsidP="006D15A7">
      <w:pPr>
        <w:pStyle w:val="a4"/>
        <w:spacing w:line="360" w:lineRule="auto"/>
        <w:rPr>
          <w:rFonts w:asciiTheme="majorBidi" w:hAnsiTheme="majorBidi" w:cstheme="majorBidi"/>
          <w:rtl/>
        </w:rPr>
      </w:pPr>
      <w:r w:rsidRPr="006D15A7">
        <w:rPr>
          <w:rStyle w:val="a6"/>
          <w:rFonts w:asciiTheme="majorBidi" w:hAnsiTheme="majorBidi" w:cstheme="majorBidi"/>
        </w:rPr>
        <w:footnoteRef/>
      </w:r>
      <w:r w:rsidRPr="006D15A7">
        <w:rPr>
          <w:rFonts w:asciiTheme="majorBidi" w:hAnsiTheme="majorBidi" w:cstheme="majorBidi"/>
          <w:rtl/>
        </w:rPr>
        <w:t xml:space="preserve"> שער המלך הלכות גזלה ואבדה פרק א סוף הלכה ב.</w:t>
      </w:r>
    </w:p>
  </w:footnote>
  <w:footnote w:id="42">
    <w:p w14:paraId="3EA9328A" w14:textId="06538999" w:rsidR="006D15A7" w:rsidRPr="006D15A7" w:rsidRDefault="006D15A7" w:rsidP="006D15A7">
      <w:pPr>
        <w:pStyle w:val="a4"/>
        <w:spacing w:line="360" w:lineRule="auto"/>
        <w:rPr>
          <w:rFonts w:asciiTheme="majorBidi" w:hAnsiTheme="majorBidi" w:cstheme="majorBidi"/>
          <w:rtl/>
        </w:rPr>
      </w:pPr>
      <w:r w:rsidRPr="006D15A7">
        <w:rPr>
          <w:rStyle w:val="a6"/>
          <w:rFonts w:asciiTheme="majorBidi" w:hAnsiTheme="majorBidi" w:cstheme="majorBidi"/>
        </w:rPr>
        <w:footnoteRef/>
      </w:r>
      <w:r w:rsidRPr="006D15A7">
        <w:rPr>
          <w:rFonts w:asciiTheme="majorBidi" w:hAnsiTheme="majorBidi" w:cstheme="majorBidi"/>
          <w:rtl/>
        </w:rPr>
        <w:t xml:space="preserve"> תוספות מסכת פסחים דף כט עמוד א ד"ה בדין.</w:t>
      </w:r>
    </w:p>
  </w:footnote>
  <w:footnote w:id="43">
    <w:p w14:paraId="528D4B5F" w14:textId="2433E601" w:rsidR="006D15A7" w:rsidRPr="006D15A7" w:rsidRDefault="006D15A7" w:rsidP="006D15A7">
      <w:pPr>
        <w:pStyle w:val="a4"/>
        <w:spacing w:line="360" w:lineRule="auto"/>
        <w:rPr>
          <w:rFonts w:asciiTheme="majorBidi" w:hAnsiTheme="majorBidi" w:cstheme="majorBidi"/>
        </w:rPr>
      </w:pPr>
      <w:r w:rsidRPr="006D15A7">
        <w:rPr>
          <w:rStyle w:val="a6"/>
          <w:rFonts w:asciiTheme="majorBidi" w:hAnsiTheme="majorBidi" w:cstheme="majorBidi"/>
        </w:rPr>
        <w:footnoteRef/>
      </w:r>
      <w:r w:rsidRPr="006D15A7">
        <w:rPr>
          <w:rFonts w:asciiTheme="majorBidi" w:hAnsiTheme="majorBidi" w:cstheme="majorBidi"/>
          <w:rtl/>
        </w:rPr>
        <w:t xml:space="preserve"> תוספות מסכת עירובין דף סב עמוד א ד"ה בן נח. דיוק של בית שלמה (או"ח לט).</w:t>
      </w:r>
    </w:p>
  </w:footnote>
  <w:footnote w:id="44">
    <w:p w14:paraId="6B2D5D12" w14:textId="06FD0692" w:rsidR="00D0709E" w:rsidRPr="00D0709E" w:rsidRDefault="00D0709E" w:rsidP="00D0709E">
      <w:pPr>
        <w:spacing w:after="0" w:line="360" w:lineRule="auto"/>
        <w:rPr>
          <w:rFonts w:asciiTheme="majorBidi" w:hAnsiTheme="majorBidi" w:cstheme="majorBidi"/>
          <w:sz w:val="20"/>
          <w:szCs w:val="20"/>
        </w:rPr>
      </w:pPr>
      <w:r w:rsidRPr="00D0709E">
        <w:rPr>
          <w:rStyle w:val="a6"/>
          <w:sz w:val="20"/>
          <w:szCs w:val="20"/>
        </w:rPr>
        <w:footnoteRef/>
      </w:r>
      <w:r w:rsidRPr="00D0709E">
        <w:rPr>
          <w:sz w:val="20"/>
          <w:szCs w:val="20"/>
          <w:rtl/>
        </w:rPr>
        <w:t xml:space="preserve"> </w:t>
      </w:r>
      <w:r w:rsidRPr="00D0709E">
        <w:rPr>
          <w:rFonts w:asciiTheme="majorBidi" w:hAnsiTheme="majorBidi" w:cs="Times New Roman"/>
          <w:sz w:val="20"/>
          <w:szCs w:val="20"/>
          <w:rtl/>
        </w:rPr>
        <w:t>חלקת מחוקק אבן העזר סימן כח ס</w:t>
      </w:r>
      <w:r w:rsidRPr="00D0709E">
        <w:rPr>
          <w:rFonts w:asciiTheme="majorBidi" w:hAnsiTheme="majorBidi" w:cs="Times New Roman" w:hint="cs"/>
          <w:sz w:val="20"/>
          <w:szCs w:val="20"/>
          <w:rtl/>
        </w:rPr>
        <w:t>"ק ג.</w:t>
      </w:r>
    </w:p>
  </w:footnote>
  <w:footnote w:id="45">
    <w:p w14:paraId="481AFAA0" w14:textId="65906625" w:rsidR="00505042" w:rsidRPr="00505042" w:rsidRDefault="00505042" w:rsidP="00505042">
      <w:pPr>
        <w:spacing w:after="0" w:line="360" w:lineRule="auto"/>
        <w:rPr>
          <w:rFonts w:asciiTheme="majorBidi" w:hAnsiTheme="majorBidi" w:cstheme="majorBidi"/>
          <w:sz w:val="20"/>
          <w:szCs w:val="20"/>
        </w:rPr>
      </w:pPr>
      <w:r w:rsidRPr="00505042">
        <w:rPr>
          <w:rStyle w:val="a6"/>
          <w:sz w:val="20"/>
          <w:szCs w:val="20"/>
        </w:rPr>
        <w:footnoteRef/>
      </w:r>
      <w:r w:rsidRPr="00505042">
        <w:rPr>
          <w:sz w:val="20"/>
          <w:szCs w:val="20"/>
          <w:rtl/>
        </w:rPr>
        <w:t xml:space="preserve"> </w:t>
      </w:r>
      <w:r w:rsidRPr="00505042">
        <w:rPr>
          <w:rFonts w:asciiTheme="majorBidi" w:hAnsiTheme="majorBidi" w:cs="Times New Roman"/>
          <w:sz w:val="20"/>
          <w:szCs w:val="20"/>
          <w:rtl/>
        </w:rPr>
        <w:t>בית שמואל סימן כח ס"ק ה</w:t>
      </w:r>
      <w:r w:rsidRPr="00505042">
        <w:rPr>
          <w:rFonts w:asciiTheme="majorBidi" w:hAnsiTheme="majorBidi" w:cstheme="majorBidi" w:hint="cs"/>
          <w:sz w:val="20"/>
          <w:szCs w:val="20"/>
          <w:rtl/>
        </w:rPr>
        <w:t>.</w:t>
      </w:r>
    </w:p>
  </w:footnote>
  <w:footnote w:id="46">
    <w:p w14:paraId="4CE6F01B" w14:textId="3C95EDC3" w:rsidR="00505042" w:rsidRPr="00505042" w:rsidRDefault="00505042" w:rsidP="00FD23A2">
      <w:pPr>
        <w:pStyle w:val="a4"/>
        <w:spacing w:line="360" w:lineRule="auto"/>
        <w:rPr>
          <w:rFonts w:asciiTheme="majorBidi" w:hAnsiTheme="majorBidi" w:cstheme="majorBidi"/>
          <w:rtl/>
        </w:rPr>
      </w:pPr>
      <w:r w:rsidRPr="00505042">
        <w:rPr>
          <w:rStyle w:val="a6"/>
          <w:rFonts w:asciiTheme="majorBidi" w:hAnsiTheme="majorBidi" w:cstheme="majorBidi"/>
        </w:rPr>
        <w:footnoteRef/>
      </w:r>
      <w:r w:rsidRPr="00505042">
        <w:rPr>
          <w:rFonts w:asciiTheme="majorBidi" w:hAnsiTheme="majorBidi" w:cstheme="majorBidi"/>
          <w:rtl/>
        </w:rPr>
        <w:t xml:space="preserve"> אבני מילואים  אבן העזר סימן כח ס"ק ג.</w:t>
      </w:r>
    </w:p>
  </w:footnote>
  <w:footnote w:id="47">
    <w:p w14:paraId="75616FB2" w14:textId="46B22C76" w:rsidR="00FD23A2" w:rsidRPr="00FD23A2" w:rsidRDefault="00FD23A2" w:rsidP="00FD23A2">
      <w:pPr>
        <w:spacing w:after="0" w:line="360" w:lineRule="auto"/>
        <w:rPr>
          <w:rFonts w:asciiTheme="majorBidi" w:hAnsiTheme="majorBidi" w:cstheme="majorBidi"/>
          <w:sz w:val="20"/>
          <w:szCs w:val="20"/>
          <w:rtl/>
        </w:rPr>
      </w:pPr>
      <w:r>
        <w:rPr>
          <w:rStyle w:val="a6"/>
        </w:rPr>
        <w:footnoteRef/>
      </w:r>
      <w:r>
        <w:rPr>
          <w:rtl/>
        </w:rPr>
        <w:t xml:space="preserve"> </w:t>
      </w:r>
      <w:r w:rsidRPr="00FD23A2">
        <w:rPr>
          <w:rFonts w:asciiTheme="majorBidi" w:hAnsiTheme="majorBidi" w:cs="Times New Roman"/>
          <w:sz w:val="20"/>
          <w:szCs w:val="20"/>
          <w:rtl/>
        </w:rPr>
        <w:t>ערוך השולחן אבן העזר סימן כח</w:t>
      </w:r>
      <w:r w:rsidRPr="00FD23A2">
        <w:rPr>
          <w:rFonts w:asciiTheme="majorBidi" w:hAnsiTheme="majorBidi" w:cstheme="majorBidi" w:hint="cs"/>
          <w:sz w:val="20"/>
          <w:szCs w:val="20"/>
          <w:rtl/>
        </w:rPr>
        <w:t xml:space="preserve"> סעיף יג</w:t>
      </w:r>
      <w:r>
        <w:rPr>
          <w:rFonts w:asciiTheme="majorBidi" w:hAnsiTheme="majorBidi" w:cstheme="majorBidi" w:hint="cs"/>
          <w:sz w:val="20"/>
          <w:szCs w:val="20"/>
          <w:rtl/>
        </w:rPr>
        <w:t>.</w:t>
      </w:r>
    </w:p>
    <w:p w14:paraId="56EEDAB8" w14:textId="3607075C" w:rsidR="00FD23A2" w:rsidRDefault="00FD23A2">
      <w:pPr>
        <w:pStyle w:val="a4"/>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01124957"/>
      <w:docPartObj>
        <w:docPartGallery w:val="Page Numbers (Top of Page)"/>
        <w:docPartUnique/>
      </w:docPartObj>
    </w:sdtPr>
    <w:sdtContent>
      <w:p w14:paraId="51BC8698" w14:textId="4B8EFB9F" w:rsidR="001F1DC1" w:rsidRDefault="001F1DC1">
        <w:pPr>
          <w:pStyle w:val="a7"/>
        </w:pPr>
        <w:r>
          <w:fldChar w:fldCharType="begin"/>
        </w:r>
        <w:r>
          <w:instrText>PAGE   \* MERGEFORMAT</w:instrText>
        </w:r>
        <w:r>
          <w:fldChar w:fldCharType="separate"/>
        </w:r>
        <w:r>
          <w:rPr>
            <w:rtl/>
            <w:lang w:val="he-IL"/>
          </w:rPr>
          <w:t>2</w:t>
        </w:r>
        <w:r>
          <w:fldChar w:fldCharType="end"/>
        </w:r>
      </w:p>
    </w:sdtContent>
  </w:sdt>
  <w:p w14:paraId="5B34DB3A" w14:textId="77777777" w:rsidR="001F1DC1" w:rsidRDefault="001F1DC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B0A80"/>
    <w:multiLevelType w:val="hybridMultilevel"/>
    <w:tmpl w:val="45265A4E"/>
    <w:lvl w:ilvl="0" w:tplc="DC84678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E7E40"/>
    <w:multiLevelType w:val="hybridMultilevel"/>
    <w:tmpl w:val="77687566"/>
    <w:lvl w:ilvl="0" w:tplc="140A37FE">
      <w:start w:val="4"/>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2C68E2"/>
    <w:multiLevelType w:val="hybridMultilevel"/>
    <w:tmpl w:val="95A0B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7456838">
    <w:abstractNumId w:val="0"/>
  </w:num>
  <w:num w:numId="2" w16cid:durableId="369763965">
    <w:abstractNumId w:val="2"/>
  </w:num>
  <w:num w:numId="3" w16cid:durableId="1188644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813"/>
    <w:rsid w:val="00017341"/>
    <w:rsid w:val="000439FA"/>
    <w:rsid w:val="000454F1"/>
    <w:rsid w:val="000B1813"/>
    <w:rsid w:val="000F4051"/>
    <w:rsid w:val="00137681"/>
    <w:rsid w:val="00161657"/>
    <w:rsid w:val="00165420"/>
    <w:rsid w:val="001F1DC1"/>
    <w:rsid w:val="00204D8F"/>
    <w:rsid w:val="0024043A"/>
    <w:rsid w:val="00290770"/>
    <w:rsid w:val="00293330"/>
    <w:rsid w:val="002A47BA"/>
    <w:rsid w:val="00410DD6"/>
    <w:rsid w:val="00417EE5"/>
    <w:rsid w:val="00430CFD"/>
    <w:rsid w:val="00505042"/>
    <w:rsid w:val="00525FFD"/>
    <w:rsid w:val="00542936"/>
    <w:rsid w:val="0057541B"/>
    <w:rsid w:val="00603B48"/>
    <w:rsid w:val="006230D0"/>
    <w:rsid w:val="00656EA3"/>
    <w:rsid w:val="00692703"/>
    <w:rsid w:val="006B44A0"/>
    <w:rsid w:val="006C62DD"/>
    <w:rsid w:val="006D15A7"/>
    <w:rsid w:val="0072721D"/>
    <w:rsid w:val="00733DB8"/>
    <w:rsid w:val="007370DF"/>
    <w:rsid w:val="00765CF1"/>
    <w:rsid w:val="007C1CB9"/>
    <w:rsid w:val="007C5BFE"/>
    <w:rsid w:val="007C6D62"/>
    <w:rsid w:val="007D1E8E"/>
    <w:rsid w:val="007F2C07"/>
    <w:rsid w:val="0081383D"/>
    <w:rsid w:val="008316C7"/>
    <w:rsid w:val="00883294"/>
    <w:rsid w:val="0089798B"/>
    <w:rsid w:val="008B1597"/>
    <w:rsid w:val="008D3060"/>
    <w:rsid w:val="008F1D13"/>
    <w:rsid w:val="009128F8"/>
    <w:rsid w:val="009353B0"/>
    <w:rsid w:val="00953E1C"/>
    <w:rsid w:val="009E2235"/>
    <w:rsid w:val="009F0D4C"/>
    <w:rsid w:val="00A82CF4"/>
    <w:rsid w:val="00AC04F6"/>
    <w:rsid w:val="00AD157A"/>
    <w:rsid w:val="00AE35E6"/>
    <w:rsid w:val="00AE4EF7"/>
    <w:rsid w:val="00AE6E37"/>
    <w:rsid w:val="00B10BFC"/>
    <w:rsid w:val="00B450AE"/>
    <w:rsid w:val="00B45207"/>
    <w:rsid w:val="00B6377B"/>
    <w:rsid w:val="00BA5D44"/>
    <w:rsid w:val="00C14E2E"/>
    <w:rsid w:val="00C17FA9"/>
    <w:rsid w:val="00C6077E"/>
    <w:rsid w:val="00C62090"/>
    <w:rsid w:val="00C75F68"/>
    <w:rsid w:val="00CA005A"/>
    <w:rsid w:val="00D0709E"/>
    <w:rsid w:val="00D91F96"/>
    <w:rsid w:val="00DA324D"/>
    <w:rsid w:val="00DB49AB"/>
    <w:rsid w:val="00DD5AD7"/>
    <w:rsid w:val="00DE0CB6"/>
    <w:rsid w:val="00EB665D"/>
    <w:rsid w:val="00EB77FE"/>
    <w:rsid w:val="00EE66A2"/>
    <w:rsid w:val="00F06521"/>
    <w:rsid w:val="00F40B00"/>
    <w:rsid w:val="00F662B7"/>
    <w:rsid w:val="00F74406"/>
    <w:rsid w:val="00FC720E"/>
    <w:rsid w:val="00FD23A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CB8FF"/>
  <w15:chartTrackingRefBased/>
  <w15:docId w15:val="{19A050CF-4836-4608-9F54-9A5004603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7EE5"/>
    <w:pPr>
      <w:ind w:left="720"/>
      <w:contextualSpacing/>
    </w:pPr>
  </w:style>
  <w:style w:type="paragraph" w:styleId="a4">
    <w:name w:val="footnote text"/>
    <w:basedOn w:val="a"/>
    <w:link w:val="a5"/>
    <w:uiPriority w:val="99"/>
    <w:semiHidden/>
    <w:unhideWhenUsed/>
    <w:rsid w:val="00417EE5"/>
    <w:pPr>
      <w:spacing w:after="0" w:line="240" w:lineRule="auto"/>
    </w:pPr>
    <w:rPr>
      <w:sz w:val="20"/>
      <w:szCs w:val="20"/>
    </w:rPr>
  </w:style>
  <w:style w:type="character" w:customStyle="1" w:styleId="a5">
    <w:name w:val="טקסט הערת שוליים תו"/>
    <w:basedOn w:val="a0"/>
    <w:link w:val="a4"/>
    <w:uiPriority w:val="99"/>
    <w:semiHidden/>
    <w:rsid w:val="00417EE5"/>
    <w:rPr>
      <w:noProof/>
      <w:sz w:val="20"/>
      <w:szCs w:val="20"/>
    </w:rPr>
  </w:style>
  <w:style w:type="character" w:styleId="a6">
    <w:name w:val="footnote reference"/>
    <w:basedOn w:val="a0"/>
    <w:uiPriority w:val="99"/>
    <w:semiHidden/>
    <w:unhideWhenUsed/>
    <w:rsid w:val="00417EE5"/>
    <w:rPr>
      <w:vertAlign w:val="superscript"/>
    </w:rPr>
  </w:style>
  <w:style w:type="paragraph" w:styleId="a7">
    <w:name w:val="header"/>
    <w:basedOn w:val="a"/>
    <w:link w:val="a8"/>
    <w:uiPriority w:val="99"/>
    <w:unhideWhenUsed/>
    <w:rsid w:val="001F1DC1"/>
    <w:pPr>
      <w:tabs>
        <w:tab w:val="center" w:pos="4153"/>
        <w:tab w:val="right" w:pos="8306"/>
      </w:tabs>
      <w:spacing w:after="0" w:line="240" w:lineRule="auto"/>
    </w:pPr>
  </w:style>
  <w:style w:type="character" w:customStyle="1" w:styleId="a8">
    <w:name w:val="כותרת עליונה תו"/>
    <w:basedOn w:val="a0"/>
    <w:link w:val="a7"/>
    <w:uiPriority w:val="99"/>
    <w:rsid w:val="001F1DC1"/>
    <w:rPr>
      <w:noProof/>
    </w:rPr>
  </w:style>
  <w:style w:type="paragraph" w:styleId="a9">
    <w:name w:val="footer"/>
    <w:basedOn w:val="a"/>
    <w:link w:val="aa"/>
    <w:uiPriority w:val="99"/>
    <w:unhideWhenUsed/>
    <w:rsid w:val="001F1DC1"/>
    <w:pPr>
      <w:tabs>
        <w:tab w:val="center" w:pos="4153"/>
        <w:tab w:val="right" w:pos="8306"/>
      </w:tabs>
      <w:spacing w:after="0" w:line="240" w:lineRule="auto"/>
    </w:pPr>
  </w:style>
  <w:style w:type="character" w:customStyle="1" w:styleId="aa">
    <w:name w:val="כותרת תחתונה תו"/>
    <w:basedOn w:val="a0"/>
    <w:link w:val="a9"/>
    <w:uiPriority w:val="99"/>
    <w:rsid w:val="001F1DC1"/>
    <w:rPr>
      <w:noProof/>
    </w:rPr>
  </w:style>
  <w:style w:type="table" w:styleId="ab">
    <w:name w:val="Table Grid"/>
    <w:basedOn w:val="a1"/>
    <w:uiPriority w:val="39"/>
    <w:rsid w:val="00F40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04C8-4E06-46F9-AF69-0D990FD3D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4622</TotalTime>
  <Pages>6</Pages>
  <Words>1614</Words>
  <Characters>8071</Characters>
  <Application>Microsoft Office Word</Application>
  <DocSecurity>0</DocSecurity>
  <Lines>67</Lines>
  <Paragraphs>19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יעקב פלג</dc:creator>
  <cp:keywords/>
  <dc:description/>
  <cp:lastModifiedBy>יעקב פלג</cp:lastModifiedBy>
  <cp:revision>10</cp:revision>
  <dcterms:created xsi:type="dcterms:W3CDTF">2023-12-04T06:58:00Z</dcterms:created>
  <dcterms:modified xsi:type="dcterms:W3CDTF">2023-12-12T09:41:00Z</dcterms:modified>
</cp:coreProperties>
</file>