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DA5CBB">
      <w:pPr>
        <w:rPr>
          <w:b/>
          <w:bCs/>
          <w:sz w:val="24"/>
          <w:szCs w:val="24"/>
          <w:rtl/>
        </w:rPr>
      </w:pPr>
    </w:p>
    <w:p w:rsidR="00D030EF" w:rsidRDefault="00D030EF">
      <w:pPr>
        <w:rPr>
          <w:b/>
          <w:bCs/>
          <w:sz w:val="32"/>
          <w:szCs w:val="32"/>
          <w:rtl/>
        </w:rPr>
      </w:pPr>
      <w:r>
        <w:rPr>
          <w:rFonts w:hint="cs"/>
          <w:b/>
          <w:bCs/>
          <w:sz w:val="24"/>
          <w:szCs w:val="24"/>
          <w:rtl/>
        </w:rPr>
        <w:t xml:space="preserve">                             </w:t>
      </w:r>
      <w:r>
        <w:rPr>
          <w:rFonts w:hint="cs"/>
          <w:b/>
          <w:bCs/>
          <w:sz w:val="32"/>
          <w:szCs w:val="32"/>
          <w:rtl/>
        </w:rPr>
        <w:t xml:space="preserve">ביטול הנדר בעת אמירתו </w:t>
      </w:r>
      <w:r>
        <w:rPr>
          <w:b/>
          <w:bCs/>
          <w:sz w:val="32"/>
          <w:szCs w:val="32"/>
          <w:rtl/>
        </w:rPr>
        <w:t>–</w:t>
      </w:r>
      <w:r>
        <w:rPr>
          <w:rFonts w:hint="cs"/>
          <w:b/>
          <w:bCs/>
          <w:sz w:val="32"/>
          <w:szCs w:val="32"/>
          <w:rtl/>
        </w:rPr>
        <w:t xml:space="preserve"> דף </w:t>
      </w:r>
      <w:proofErr w:type="spellStart"/>
      <w:r>
        <w:rPr>
          <w:rFonts w:hint="cs"/>
          <w:b/>
          <w:bCs/>
          <w:sz w:val="32"/>
          <w:szCs w:val="32"/>
          <w:rtl/>
        </w:rPr>
        <w:t>כג</w:t>
      </w:r>
      <w:proofErr w:type="spellEnd"/>
      <w:r>
        <w:rPr>
          <w:rFonts w:hint="cs"/>
          <w:b/>
          <w:bCs/>
          <w:sz w:val="32"/>
          <w:szCs w:val="32"/>
          <w:rtl/>
        </w:rPr>
        <w:t>, א</w:t>
      </w:r>
    </w:p>
    <w:p w:rsidR="003613DC" w:rsidRDefault="003613DC">
      <w:pPr>
        <w:rPr>
          <w:sz w:val="24"/>
          <w:szCs w:val="24"/>
          <w:rtl/>
        </w:rPr>
      </w:pPr>
      <w:r>
        <w:rPr>
          <w:rFonts w:hint="cs"/>
          <w:sz w:val="24"/>
          <w:szCs w:val="24"/>
          <w:rtl/>
        </w:rPr>
        <w:t xml:space="preserve">הגמרא משלימה את דברי המשנה (חיסורי </w:t>
      </w:r>
      <w:proofErr w:type="spellStart"/>
      <w:r>
        <w:rPr>
          <w:rFonts w:hint="cs"/>
          <w:sz w:val="24"/>
          <w:szCs w:val="24"/>
          <w:rtl/>
        </w:rPr>
        <w:t>מחסרא</w:t>
      </w:r>
      <w:proofErr w:type="spellEnd"/>
      <w:r>
        <w:rPr>
          <w:rFonts w:hint="cs"/>
          <w:sz w:val="24"/>
          <w:szCs w:val="24"/>
          <w:rtl/>
        </w:rPr>
        <w:t>) ואומרת כי כוונת רבי אליעזר בן יעקב במשנה לומר שתי הלכות:</w:t>
      </w:r>
    </w:p>
    <w:p w:rsidR="003613DC" w:rsidRDefault="003613DC">
      <w:pPr>
        <w:rPr>
          <w:sz w:val="24"/>
          <w:szCs w:val="24"/>
          <w:rtl/>
        </w:rPr>
      </w:pPr>
      <w:r>
        <w:rPr>
          <w:rFonts w:hint="cs"/>
          <w:sz w:val="24"/>
          <w:szCs w:val="24"/>
          <w:rtl/>
        </w:rPr>
        <w:t xml:space="preserve">א. אדם שרצה שחברו יאכל אצלו והוא אינו מסכים וחזר הראשון ונדר שלא </w:t>
      </w:r>
      <w:proofErr w:type="spellStart"/>
      <w:r>
        <w:rPr>
          <w:rFonts w:hint="cs"/>
          <w:sz w:val="24"/>
          <w:szCs w:val="24"/>
          <w:rtl/>
        </w:rPr>
        <w:t>יהנה</w:t>
      </w:r>
      <w:proofErr w:type="spellEnd"/>
      <w:r>
        <w:rPr>
          <w:rFonts w:hint="cs"/>
          <w:sz w:val="24"/>
          <w:szCs w:val="24"/>
          <w:rtl/>
        </w:rPr>
        <w:t xml:space="preserve"> יותר מנכסיו- זה נקרא נדרי </w:t>
      </w:r>
      <w:proofErr w:type="spellStart"/>
      <w:r>
        <w:rPr>
          <w:rFonts w:hint="cs"/>
          <w:sz w:val="24"/>
          <w:szCs w:val="24"/>
          <w:rtl/>
        </w:rPr>
        <w:t>זרוזין</w:t>
      </w:r>
      <w:proofErr w:type="spellEnd"/>
    </w:p>
    <w:p w:rsidR="003613DC" w:rsidRDefault="003613DC" w:rsidP="003613DC">
      <w:pPr>
        <w:rPr>
          <w:sz w:val="24"/>
          <w:szCs w:val="24"/>
          <w:rtl/>
        </w:rPr>
      </w:pPr>
      <w:r>
        <w:rPr>
          <w:rFonts w:hint="cs"/>
          <w:sz w:val="24"/>
          <w:szCs w:val="24"/>
          <w:rtl/>
        </w:rPr>
        <w:t xml:space="preserve">ב. </w:t>
      </w:r>
      <w:r w:rsidRPr="003613DC">
        <w:rPr>
          <w:rFonts w:cs="Arial"/>
          <w:sz w:val="24"/>
          <w:szCs w:val="24"/>
          <w:rtl/>
        </w:rPr>
        <w:t>הרוצה שלא יתקיימו נדריו כל השנה, יעמוד בראש השנה</w:t>
      </w:r>
      <w:r w:rsidRPr="0091583F">
        <w:rPr>
          <w:rFonts w:cs="Arial"/>
          <w:b/>
          <w:bCs/>
          <w:sz w:val="24"/>
          <w:szCs w:val="24"/>
          <w:rtl/>
        </w:rPr>
        <w:t xml:space="preserve"> ויאמר</w:t>
      </w:r>
      <w:r w:rsidRPr="003613DC">
        <w:rPr>
          <w:rFonts w:cs="Arial"/>
          <w:sz w:val="24"/>
          <w:szCs w:val="24"/>
          <w:rtl/>
        </w:rPr>
        <w:t xml:space="preserve"> כל נדר שאני עתיד </w:t>
      </w:r>
      <w:proofErr w:type="spellStart"/>
      <w:r w:rsidRPr="003613DC">
        <w:rPr>
          <w:rFonts w:cs="Arial"/>
          <w:sz w:val="24"/>
          <w:szCs w:val="24"/>
          <w:rtl/>
        </w:rPr>
        <w:t>לידור</w:t>
      </w:r>
      <w:proofErr w:type="spellEnd"/>
      <w:r w:rsidRPr="003613DC">
        <w:rPr>
          <w:rFonts w:cs="Arial"/>
          <w:sz w:val="24"/>
          <w:szCs w:val="24"/>
          <w:rtl/>
        </w:rPr>
        <w:t xml:space="preserve"> יהא בטל, ובלבד שיהא זכור בשעת הנדר</w:t>
      </w:r>
    </w:p>
    <w:p w:rsidR="003613DC" w:rsidRDefault="003613DC" w:rsidP="003613DC">
      <w:pPr>
        <w:rPr>
          <w:sz w:val="24"/>
          <w:szCs w:val="24"/>
          <w:rtl/>
        </w:rPr>
      </w:pPr>
      <w:r>
        <w:rPr>
          <w:rFonts w:hint="cs"/>
          <w:sz w:val="24"/>
          <w:szCs w:val="24"/>
          <w:rtl/>
        </w:rPr>
        <w:t xml:space="preserve">נחלקו </w:t>
      </w:r>
      <w:proofErr w:type="spellStart"/>
      <w:r>
        <w:rPr>
          <w:rFonts w:hint="cs"/>
          <w:sz w:val="24"/>
          <w:szCs w:val="24"/>
          <w:rtl/>
        </w:rPr>
        <w:t>אביי</w:t>
      </w:r>
      <w:proofErr w:type="spellEnd"/>
      <w:r>
        <w:rPr>
          <w:rFonts w:hint="cs"/>
          <w:sz w:val="24"/>
          <w:szCs w:val="24"/>
          <w:rtl/>
        </w:rPr>
        <w:t xml:space="preserve"> ורבא לגבי המשפט האחרון. </w:t>
      </w:r>
      <w:proofErr w:type="spellStart"/>
      <w:r>
        <w:rPr>
          <w:rFonts w:hint="cs"/>
          <w:sz w:val="24"/>
          <w:szCs w:val="24"/>
          <w:rtl/>
        </w:rPr>
        <w:t>אביי</w:t>
      </w:r>
      <w:proofErr w:type="spellEnd"/>
      <w:r>
        <w:rPr>
          <w:rFonts w:hint="cs"/>
          <w:sz w:val="24"/>
          <w:szCs w:val="24"/>
          <w:rtl/>
        </w:rPr>
        <w:t xml:space="preserve"> אומר כי </w:t>
      </w:r>
      <w:proofErr w:type="spellStart"/>
      <w:r>
        <w:rPr>
          <w:rFonts w:hint="cs"/>
          <w:sz w:val="24"/>
          <w:szCs w:val="24"/>
          <w:rtl/>
        </w:rPr>
        <w:t>הגירסה</w:t>
      </w:r>
      <w:proofErr w:type="spellEnd"/>
      <w:r>
        <w:rPr>
          <w:rFonts w:hint="cs"/>
          <w:sz w:val="24"/>
          <w:szCs w:val="24"/>
          <w:rtl/>
        </w:rPr>
        <w:t xml:space="preserve"> הנכונה היא "ובלבד </w:t>
      </w:r>
      <w:r>
        <w:rPr>
          <w:rFonts w:hint="cs"/>
          <w:b/>
          <w:bCs/>
          <w:sz w:val="24"/>
          <w:szCs w:val="24"/>
          <w:rtl/>
        </w:rPr>
        <w:t xml:space="preserve">שלא </w:t>
      </w:r>
      <w:r>
        <w:rPr>
          <w:rFonts w:hint="cs"/>
          <w:sz w:val="24"/>
          <w:szCs w:val="24"/>
          <w:rtl/>
        </w:rPr>
        <w:t xml:space="preserve">יהא זכור בשעת הנדר" . כלומר אם יזכור בשעת הנדר שביטל את נדריו בראש השנה ולמרות זאת הוא נודר הרי בעצם ביטל את הביטול , וחל הנדר. לעומת זאת רבא משאיר את </w:t>
      </w:r>
      <w:proofErr w:type="spellStart"/>
      <w:r>
        <w:rPr>
          <w:rFonts w:hint="cs"/>
          <w:sz w:val="24"/>
          <w:szCs w:val="24"/>
          <w:rtl/>
        </w:rPr>
        <w:t>הגירסה</w:t>
      </w:r>
      <w:proofErr w:type="spellEnd"/>
      <w:r>
        <w:rPr>
          <w:rFonts w:hint="cs"/>
          <w:sz w:val="24"/>
          <w:szCs w:val="24"/>
          <w:rtl/>
        </w:rPr>
        <w:t xml:space="preserve"> של סעיף ב' כפי שהיא , ומחלק בין </w:t>
      </w:r>
      <w:r w:rsidR="0091583F">
        <w:rPr>
          <w:rFonts w:hint="cs"/>
          <w:sz w:val="24"/>
          <w:szCs w:val="24"/>
          <w:rtl/>
        </w:rPr>
        <w:t xml:space="preserve">שני מקרים : לא זוכר כלל שביטל בעת שנדר, ביטל דברים </w:t>
      </w:r>
      <w:proofErr w:type="spellStart"/>
      <w:r w:rsidR="0091583F">
        <w:rPr>
          <w:rFonts w:hint="cs"/>
          <w:sz w:val="24"/>
          <w:szCs w:val="24"/>
          <w:rtl/>
        </w:rPr>
        <w:t>מסויימים</w:t>
      </w:r>
      <w:proofErr w:type="spellEnd"/>
      <w:r w:rsidR="0091583F">
        <w:rPr>
          <w:rFonts w:hint="cs"/>
          <w:sz w:val="24"/>
          <w:szCs w:val="24"/>
          <w:rtl/>
        </w:rPr>
        <w:t xml:space="preserve"> אך בעת שנודר לא זוכר מה ביטל ומה לא.</w:t>
      </w:r>
    </w:p>
    <w:p w:rsidR="0091583F" w:rsidRDefault="0091583F" w:rsidP="0091583F">
      <w:pPr>
        <w:rPr>
          <w:sz w:val="24"/>
          <w:szCs w:val="24"/>
          <w:rtl/>
        </w:rPr>
      </w:pPr>
      <w:r>
        <w:rPr>
          <w:rFonts w:hint="cs"/>
          <w:sz w:val="24"/>
          <w:szCs w:val="24"/>
          <w:rtl/>
        </w:rPr>
        <w:t xml:space="preserve">במאמר זה נתעכב על המילה </w:t>
      </w:r>
      <w:r>
        <w:rPr>
          <w:rFonts w:hint="cs"/>
          <w:b/>
          <w:bCs/>
          <w:sz w:val="24"/>
          <w:szCs w:val="24"/>
          <w:rtl/>
        </w:rPr>
        <w:t>"ויאמר"</w:t>
      </w:r>
      <w:r>
        <w:rPr>
          <w:rFonts w:hint="cs"/>
          <w:sz w:val="24"/>
          <w:szCs w:val="24"/>
          <w:rtl/>
        </w:rPr>
        <w:t xml:space="preserve"> המופיע בסעיף ב. אך תחילה נעיר שתי הערות:</w:t>
      </w:r>
    </w:p>
    <w:p w:rsidR="0091583F" w:rsidRDefault="0091583F" w:rsidP="0091583F">
      <w:pPr>
        <w:rPr>
          <w:sz w:val="24"/>
          <w:szCs w:val="24"/>
          <w:rtl/>
        </w:rPr>
      </w:pPr>
      <w:r>
        <w:rPr>
          <w:rFonts w:hint="cs"/>
          <w:sz w:val="24"/>
          <w:szCs w:val="24"/>
          <w:rtl/>
        </w:rPr>
        <w:t xml:space="preserve"> </w:t>
      </w:r>
      <w:proofErr w:type="spellStart"/>
      <w:r w:rsidRPr="0091583F">
        <w:rPr>
          <w:rFonts w:hint="cs"/>
          <w:b/>
          <w:bCs/>
          <w:sz w:val="24"/>
          <w:szCs w:val="24"/>
          <w:rtl/>
        </w:rPr>
        <w:t>הרשב"א</w:t>
      </w:r>
      <w:proofErr w:type="spellEnd"/>
      <w:r>
        <w:rPr>
          <w:rFonts w:hint="cs"/>
          <w:sz w:val="24"/>
          <w:szCs w:val="24"/>
          <w:rtl/>
        </w:rPr>
        <w:t xml:space="preserve"> כותב כי אין חיוב לעשות את התנאי דווקא בראש השנה, אלא שהמשנה נקטה ראש השנה כי הוא רוצה לבטל את נדריו לשנה שלמה וקל לזכור שהחל בראש השנה. </w:t>
      </w:r>
    </w:p>
    <w:p w:rsidR="0091583F" w:rsidRDefault="0091583F" w:rsidP="0091583F">
      <w:pPr>
        <w:rPr>
          <w:sz w:val="24"/>
          <w:szCs w:val="24"/>
          <w:rtl/>
        </w:rPr>
      </w:pPr>
      <w:proofErr w:type="spellStart"/>
      <w:r>
        <w:rPr>
          <w:rFonts w:hint="cs"/>
          <w:b/>
          <w:bCs/>
          <w:sz w:val="24"/>
          <w:szCs w:val="24"/>
          <w:rtl/>
        </w:rPr>
        <w:t>הריטב"א</w:t>
      </w:r>
      <w:proofErr w:type="spellEnd"/>
      <w:r>
        <w:rPr>
          <w:rFonts w:hint="cs"/>
          <w:b/>
          <w:bCs/>
          <w:sz w:val="24"/>
          <w:szCs w:val="24"/>
          <w:rtl/>
        </w:rPr>
        <w:t xml:space="preserve"> </w:t>
      </w:r>
      <w:r>
        <w:rPr>
          <w:rFonts w:hint="cs"/>
          <w:sz w:val="24"/>
          <w:szCs w:val="24"/>
          <w:rtl/>
        </w:rPr>
        <w:t xml:space="preserve">מציין כי הוא יכול לעשות את הביטול הזה בינו לבין עצמו , אך כדי שלא יחשדו בו בהמשך הזמן אם ידור ולא יקיים , עדיף למסור את מודעת הביטול בפני שניים או שלושה אנשים וכך יהיה פרסום לכך שהוא ביטל לכתחילה את כל נדרי השנה. </w:t>
      </w:r>
    </w:p>
    <w:p w:rsidR="001850AE" w:rsidRDefault="001850AE" w:rsidP="0091583F">
      <w:pPr>
        <w:rPr>
          <w:rFonts w:cs="Guttman Yad"/>
          <w:b/>
          <w:bCs/>
          <w:sz w:val="24"/>
          <w:szCs w:val="24"/>
          <w:rtl/>
        </w:rPr>
      </w:pPr>
      <w:r>
        <w:rPr>
          <w:rFonts w:cs="Guttman Yad" w:hint="cs"/>
          <w:b/>
          <w:bCs/>
          <w:sz w:val="24"/>
          <w:szCs w:val="24"/>
          <w:rtl/>
        </w:rPr>
        <w:t>האם אפשר לבטל נדר בלחש או צריך להגביה קול?</w:t>
      </w:r>
    </w:p>
    <w:p w:rsidR="0091583F" w:rsidRDefault="001850AE" w:rsidP="002264EA">
      <w:pPr>
        <w:rPr>
          <w:rFonts w:asciiTheme="minorBidi" w:hAnsiTheme="minorBidi"/>
          <w:sz w:val="24"/>
          <w:szCs w:val="24"/>
          <w:rtl/>
        </w:rPr>
      </w:pPr>
      <w:r w:rsidRPr="0048213F">
        <w:rPr>
          <w:rFonts w:asciiTheme="minorBidi" w:hAnsiTheme="minorBidi" w:hint="cs"/>
          <w:b/>
          <w:bCs/>
          <w:sz w:val="24"/>
          <w:szCs w:val="24"/>
          <w:rtl/>
        </w:rPr>
        <w:t>רבי אליעזר ממיץ</w:t>
      </w:r>
      <w:r>
        <w:rPr>
          <w:rFonts w:asciiTheme="minorBidi" w:hAnsiTheme="minorBidi" w:hint="cs"/>
          <w:sz w:val="24"/>
          <w:szCs w:val="24"/>
          <w:rtl/>
        </w:rPr>
        <w:t xml:space="preserve"> (מובא </w:t>
      </w:r>
      <w:proofErr w:type="spellStart"/>
      <w:r>
        <w:rPr>
          <w:rFonts w:asciiTheme="minorBidi" w:hAnsiTheme="minorBidi" w:hint="cs"/>
          <w:sz w:val="24"/>
          <w:szCs w:val="24"/>
          <w:rtl/>
        </w:rPr>
        <w:t>ברא"ש</w:t>
      </w:r>
      <w:proofErr w:type="spellEnd"/>
      <w:r>
        <w:rPr>
          <w:rFonts w:asciiTheme="minorBidi" w:hAnsiTheme="minorBidi" w:hint="cs"/>
          <w:sz w:val="24"/>
          <w:szCs w:val="24"/>
          <w:rtl/>
        </w:rPr>
        <w:t xml:space="preserve"> , סימן ג) </w:t>
      </w:r>
      <w:r w:rsidR="002264EA">
        <w:rPr>
          <w:rFonts w:asciiTheme="minorBidi" w:hAnsiTheme="minorBidi" w:hint="cs"/>
          <w:sz w:val="24"/>
          <w:szCs w:val="24"/>
          <w:rtl/>
        </w:rPr>
        <w:t xml:space="preserve">לומד ממהלך הגמרא כי ביטול נדרים להבא, צריך להיות בקול ולא בלחש. ואם אדם ביטל את הנדר בלחש , דומה הדבר לדברים שבלב וממילא לא חל הביטול. הוכחתו היא משאלת הגמרא : "לא שמע ליה ולא אכיל בהדיה". אם אפשר לבטל את הנדר בשקט, מדוע שחברו לא יבוא לאכול אצלו הרי הוא לא יודע שהנודר ביטל את נדרו. </w:t>
      </w:r>
    </w:p>
    <w:p w:rsidR="002264EA" w:rsidRDefault="002264EA" w:rsidP="002264EA">
      <w:pPr>
        <w:rPr>
          <w:rFonts w:asciiTheme="minorBidi" w:hAnsiTheme="minorBidi"/>
          <w:sz w:val="24"/>
          <w:szCs w:val="24"/>
          <w:rtl/>
        </w:rPr>
      </w:pPr>
      <w:r>
        <w:rPr>
          <w:rFonts w:asciiTheme="minorBidi" w:hAnsiTheme="minorBidi" w:hint="cs"/>
          <w:sz w:val="24"/>
          <w:szCs w:val="24"/>
          <w:rtl/>
        </w:rPr>
        <w:t xml:space="preserve">לעומת זאת </w:t>
      </w:r>
      <w:proofErr w:type="spellStart"/>
      <w:r w:rsidRPr="0048213F">
        <w:rPr>
          <w:rFonts w:asciiTheme="minorBidi" w:hAnsiTheme="minorBidi" w:hint="cs"/>
          <w:b/>
          <w:bCs/>
          <w:sz w:val="24"/>
          <w:szCs w:val="24"/>
          <w:rtl/>
        </w:rPr>
        <w:t>הר"ן</w:t>
      </w:r>
      <w:proofErr w:type="spellEnd"/>
      <w:r>
        <w:rPr>
          <w:rFonts w:asciiTheme="minorBidi" w:hAnsiTheme="minorBidi" w:hint="cs"/>
          <w:sz w:val="24"/>
          <w:szCs w:val="24"/>
          <w:rtl/>
        </w:rPr>
        <w:t xml:space="preserve"> סובר שביטול הנדר בלחש הוא ביטול לכל דבר. ולקושיית רבי אליעזר ממיץ מדוע לא תירצה הגמרא שחברו שמע את הנדר אך לא את הביטול, ענה </w:t>
      </w:r>
      <w:proofErr w:type="spellStart"/>
      <w:r>
        <w:rPr>
          <w:rFonts w:asciiTheme="minorBidi" w:hAnsiTheme="minorBidi" w:hint="cs"/>
          <w:sz w:val="24"/>
          <w:szCs w:val="24"/>
          <w:rtl/>
        </w:rPr>
        <w:t>הר"ן</w:t>
      </w:r>
      <w:proofErr w:type="spellEnd"/>
      <w:r>
        <w:rPr>
          <w:rFonts w:asciiTheme="minorBidi" w:hAnsiTheme="minorBidi" w:hint="cs"/>
          <w:sz w:val="24"/>
          <w:szCs w:val="24"/>
          <w:rtl/>
        </w:rPr>
        <w:t xml:space="preserve"> כי אכן הגמרא יכלה לתרץ כך, אך העדיפה לסדר את המשנה בצורה של "חיסורי </w:t>
      </w:r>
      <w:proofErr w:type="spellStart"/>
      <w:r>
        <w:rPr>
          <w:rFonts w:asciiTheme="minorBidi" w:hAnsiTheme="minorBidi" w:hint="cs"/>
          <w:sz w:val="24"/>
          <w:szCs w:val="24"/>
          <w:rtl/>
        </w:rPr>
        <w:t>מחסרא</w:t>
      </w:r>
      <w:proofErr w:type="spellEnd"/>
      <w:r>
        <w:rPr>
          <w:rFonts w:asciiTheme="minorBidi" w:hAnsiTheme="minorBidi" w:hint="cs"/>
          <w:sz w:val="24"/>
          <w:szCs w:val="24"/>
          <w:rtl/>
        </w:rPr>
        <w:t>"</w:t>
      </w:r>
    </w:p>
    <w:p w:rsidR="001850AE" w:rsidRDefault="002264EA" w:rsidP="002264EA">
      <w:pPr>
        <w:rPr>
          <w:sz w:val="24"/>
          <w:szCs w:val="24"/>
          <w:rtl/>
        </w:rPr>
      </w:pPr>
      <w:r w:rsidRPr="0048213F">
        <w:rPr>
          <w:rFonts w:asciiTheme="minorBidi" w:hAnsiTheme="minorBidi" w:hint="cs"/>
          <w:b/>
          <w:bCs/>
          <w:sz w:val="24"/>
          <w:szCs w:val="24"/>
          <w:rtl/>
        </w:rPr>
        <w:t>הטור</w:t>
      </w:r>
      <w:r w:rsidR="0048213F">
        <w:rPr>
          <w:rFonts w:asciiTheme="minorBidi" w:hAnsiTheme="minorBidi" w:hint="cs"/>
          <w:sz w:val="24"/>
          <w:szCs w:val="24"/>
          <w:rtl/>
        </w:rPr>
        <w:t xml:space="preserve"> הביא להלכה את דעת רבי אליעזר ממיץ</w:t>
      </w:r>
      <w:r>
        <w:rPr>
          <w:rFonts w:asciiTheme="minorBidi" w:hAnsiTheme="minorBidi" w:hint="cs"/>
          <w:sz w:val="24"/>
          <w:szCs w:val="24"/>
          <w:rtl/>
        </w:rPr>
        <w:t xml:space="preserve">, אך  </w:t>
      </w:r>
      <w:r w:rsidR="001850AE" w:rsidRPr="0048213F">
        <w:rPr>
          <w:rFonts w:asciiTheme="minorBidi" w:hAnsiTheme="minorBidi" w:hint="cs"/>
          <w:b/>
          <w:bCs/>
          <w:sz w:val="24"/>
          <w:szCs w:val="24"/>
          <w:rtl/>
        </w:rPr>
        <w:t>מרן בשולחן ערוך</w:t>
      </w:r>
      <w:r w:rsidR="001850AE">
        <w:rPr>
          <w:rFonts w:asciiTheme="minorBidi" w:hAnsiTheme="minorBidi" w:hint="cs"/>
          <w:sz w:val="24"/>
          <w:szCs w:val="24"/>
          <w:rtl/>
        </w:rPr>
        <w:t xml:space="preserve"> (</w:t>
      </w:r>
      <w:proofErr w:type="spellStart"/>
      <w:r w:rsidR="001850AE">
        <w:rPr>
          <w:rFonts w:asciiTheme="minorBidi" w:hAnsiTheme="minorBidi" w:hint="cs"/>
          <w:sz w:val="24"/>
          <w:szCs w:val="24"/>
          <w:rtl/>
        </w:rPr>
        <w:t>ריא</w:t>
      </w:r>
      <w:proofErr w:type="spellEnd"/>
      <w:r w:rsidR="001850AE">
        <w:rPr>
          <w:rFonts w:asciiTheme="minorBidi" w:hAnsiTheme="minorBidi" w:hint="cs"/>
          <w:sz w:val="24"/>
          <w:szCs w:val="24"/>
          <w:rtl/>
        </w:rPr>
        <w:t xml:space="preserve"> ,ב) </w:t>
      </w:r>
      <w:r>
        <w:rPr>
          <w:rFonts w:asciiTheme="minorBidi" w:hAnsiTheme="minorBidi" w:hint="cs"/>
          <w:sz w:val="24"/>
          <w:szCs w:val="24"/>
          <w:rtl/>
        </w:rPr>
        <w:t xml:space="preserve">כתב </w:t>
      </w:r>
      <w:r w:rsidR="001850AE">
        <w:rPr>
          <w:rFonts w:asciiTheme="minorBidi" w:hAnsiTheme="minorBidi" w:hint="cs"/>
          <w:sz w:val="24"/>
          <w:szCs w:val="24"/>
          <w:rtl/>
        </w:rPr>
        <w:t xml:space="preserve">שתי דעות . הראשונה </w:t>
      </w:r>
      <w:r>
        <w:rPr>
          <w:rFonts w:asciiTheme="minorBidi" w:hAnsiTheme="minorBidi" w:hint="cs"/>
          <w:sz w:val="24"/>
          <w:szCs w:val="24"/>
          <w:rtl/>
        </w:rPr>
        <w:t xml:space="preserve">ביטל את הנדר בשפתיו בלחש , הביטול חל. </w:t>
      </w:r>
      <w:proofErr w:type="spellStart"/>
      <w:r>
        <w:rPr>
          <w:rFonts w:asciiTheme="minorBidi" w:hAnsiTheme="minorBidi" w:hint="cs"/>
          <w:sz w:val="24"/>
          <w:szCs w:val="24"/>
          <w:rtl/>
        </w:rPr>
        <w:t>והשניה</w:t>
      </w:r>
      <w:proofErr w:type="spellEnd"/>
      <w:r>
        <w:rPr>
          <w:rFonts w:asciiTheme="minorBidi" w:hAnsiTheme="minorBidi" w:hint="cs"/>
          <w:sz w:val="24"/>
          <w:szCs w:val="24"/>
          <w:rtl/>
        </w:rPr>
        <w:t xml:space="preserve"> בשם "ויש אומרים" שאין ביטול נדרים אלא בקול. </w:t>
      </w:r>
      <w:r>
        <w:rPr>
          <w:rFonts w:hint="cs"/>
          <w:sz w:val="24"/>
          <w:szCs w:val="24"/>
          <w:rtl/>
        </w:rPr>
        <w:t>ידוע הכלל בדברי מרן כי "סתם ויש אומרים " הלכה כסתם</w:t>
      </w:r>
      <w:r>
        <w:rPr>
          <w:rStyle w:val="a5"/>
          <w:sz w:val="24"/>
          <w:szCs w:val="24"/>
          <w:rtl/>
        </w:rPr>
        <w:footnoteReference w:id="1"/>
      </w:r>
      <w:r>
        <w:rPr>
          <w:rFonts w:hint="cs"/>
          <w:sz w:val="24"/>
          <w:szCs w:val="24"/>
          <w:rtl/>
        </w:rPr>
        <w:t xml:space="preserve">. </w:t>
      </w:r>
    </w:p>
    <w:p w:rsidR="0048213F" w:rsidRDefault="0048213F" w:rsidP="002264EA">
      <w:pPr>
        <w:rPr>
          <w:sz w:val="24"/>
          <w:szCs w:val="24"/>
          <w:rtl/>
        </w:rPr>
      </w:pPr>
      <w:proofErr w:type="spellStart"/>
      <w:r>
        <w:rPr>
          <w:rFonts w:hint="cs"/>
          <w:b/>
          <w:bCs/>
          <w:sz w:val="24"/>
          <w:szCs w:val="24"/>
          <w:rtl/>
        </w:rPr>
        <w:t>הב"ח</w:t>
      </w:r>
      <w:proofErr w:type="spellEnd"/>
      <w:r>
        <w:rPr>
          <w:rFonts w:hint="cs"/>
          <w:b/>
          <w:bCs/>
          <w:sz w:val="24"/>
          <w:szCs w:val="24"/>
          <w:rtl/>
        </w:rPr>
        <w:t xml:space="preserve"> </w:t>
      </w:r>
      <w:r>
        <w:rPr>
          <w:rFonts w:hint="cs"/>
          <w:sz w:val="24"/>
          <w:szCs w:val="24"/>
          <w:rtl/>
        </w:rPr>
        <w:t>כותב כי בדומה לקריאת שמע ותפילה , אם אדם משמיע לאוזנו אפילו שמדובר בלחישה נחשב הדבר כדיבור , לכן כתב כי יש לחלק בין שני סוגי לחישה. אם לחש את ביטול הנדר לפני אמירתו , שאפילו אוזניו לא שמעו את דבריו הרי זה כמחשבה ונדרו חל אך אם לחש והשמיע לאוזניו , אפילו אם אחרים הסובבים אותו לא שמעו הרי שהביטול חל והנדר בטל.</w:t>
      </w:r>
    </w:p>
    <w:p w:rsidR="0048213F" w:rsidRDefault="0048213F" w:rsidP="002264EA">
      <w:pPr>
        <w:rPr>
          <w:sz w:val="24"/>
          <w:szCs w:val="24"/>
          <w:rtl/>
        </w:rPr>
      </w:pPr>
      <w:proofErr w:type="spellStart"/>
      <w:r w:rsidRPr="00F055DA">
        <w:rPr>
          <w:rFonts w:hint="cs"/>
          <w:b/>
          <w:bCs/>
          <w:sz w:val="24"/>
          <w:szCs w:val="24"/>
          <w:rtl/>
        </w:rPr>
        <w:lastRenderedPageBreak/>
        <w:t>הש"ך</w:t>
      </w:r>
      <w:proofErr w:type="spellEnd"/>
      <w:r>
        <w:rPr>
          <w:rFonts w:hint="cs"/>
          <w:sz w:val="24"/>
          <w:szCs w:val="24"/>
          <w:rtl/>
        </w:rPr>
        <w:t xml:space="preserve"> אינו מסכים עם השוואת </w:t>
      </w:r>
      <w:proofErr w:type="spellStart"/>
      <w:r>
        <w:rPr>
          <w:rFonts w:hint="cs"/>
          <w:sz w:val="24"/>
          <w:szCs w:val="24"/>
          <w:rtl/>
        </w:rPr>
        <w:t>הב"ח</w:t>
      </w:r>
      <w:proofErr w:type="spellEnd"/>
      <w:r>
        <w:rPr>
          <w:rFonts w:hint="cs"/>
          <w:sz w:val="24"/>
          <w:szCs w:val="24"/>
          <w:rtl/>
        </w:rPr>
        <w:t xml:space="preserve"> (</w:t>
      </w:r>
      <w:proofErr w:type="spellStart"/>
      <w:r>
        <w:rPr>
          <w:rFonts w:hint="cs"/>
          <w:sz w:val="24"/>
          <w:szCs w:val="24"/>
          <w:rtl/>
        </w:rPr>
        <w:t>והט"ז</w:t>
      </w:r>
      <w:proofErr w:type="spellEnd"/>
      <w:r>
        <w:rPr>
          <w:rFonts w:hint="cs"/>
          <w:sz w:val="24"/>
          <w:szCs w:val="24"/>
          <w:rtl/>
        </w:rPr>
        <w:t xml:space="preserve"> שמצטט אותו). לדעתו, אדם שאומר נדר בקול , אם ברצונו לנטרל את הנדר לפני אמירתו , עליו </w:t>
      </w:r>
      <w:r w:rsidRPr="00F055DA">
        <w:rPr>
          <w:rFonts w:hint="cs"/>
          <w:b/>
          <w:bCs/>
          <w:sz w:val="24"/>
          <w:szCs w:val="24"/>
          <w:rtl/>
        </w:rPr>
        <w:t>להוכיח בצורה נחרצת</w:t>
      </w:r>
      <w:r w:rsidR="00F055DA">
        <w:rPr>
          <w:rStyle w:val="a5"/>
          <w:b/>
          <w:bCs/>
          <w:sz w:val="24"/>
          <w:szCs w:val="24"/>
          <w:rtl/>
        </w:rPr>
        <w:footnoteReference w:id="2"/>
      </w:r>
      <w:r>
        <w:rPr>
          <w:rFonts w:hint="cs"/>
          <w:sz w:val="24"/>
          <w:szCs w:val="24"/>
          <w:rtl/>
        </w:rPr>
        <w:t xml:space="preserve"> כי אכן הוא מבקש לנטרל את הנדר שיאמר עוד רגע, ולשם זה לא מספיקה לחישה אלא אמירה ברורה בקול רם אחרת נשארים הדברים בגדר "דברים שבלב". </w:t>
      </w:r>
    </w:p>
    <w:p w:rsidR="00F055DA" w:rsidRDefault="00F055DA" w:rsidP="002264EA">
      <w:pPr>
        <w:rPr>
          <w:sz w:val="24"/>
          <w:szCs w:val="24"/>
          <w:rtl/>
        </w:rPr>
      </w:pPr>
      <w:r>
        <w:rPr>
          <w:rFonts w:hint="cs"/>
          <w:sz w:val="24"/>
          <w:szCs w:val="24"/>
          <w:rtl/>
        </w:rPr>
        <w:t xml:space="preserve">את דברי </w:t>
      </w:r>
      <w:proofErr w:type="spellStart"/>
      <w:r>
        <w:rPr>
          <w:rFonts w:hint="cs"/>
          <w:sz w:val="24"/>
          <w:szCs w:val="24"/>
          <w:rtl/>
        </w:rPr>
        <w:t>הש"ך</w:t>
      </w:r>
      <w:proofErr w:type="spellEnd"/>
      <w:r>
        <w:rPr>
          <w:rFonts w:hint="cs"/>
          <w:sz w:val="24"/>
          <w:szCs w:val="24"/>
          <w:rtl/>
        </w:rPr>
        <w:t xml:space="preserve"> מסביר בלשון זהב </w:t>
      </w:r>
      <w:r w:rsidRPr="00F055DA">
        <w:rPr>
          <w:rFonts w:hint="cs"/>
          <w:b/>
          <w:bCs/>
          <w:sz w:val="24"/>
          <w:szCs w:val="24"/>
          <w:rtl/>
        </w:rPr>
        <w:t>ערוך השולחן</w:t>
      </w:r>
      <w:r>
        <w:rPr>
          <w:rFonts w:hint="cs"/>
          <w:sz w:val="24"/>
          <w:szCs w:val="24"/>
          <w:rtl/>
        </w:rPr>
        <w:t xml:space="preserve"> (</w:t>
      </w:r>
      <w:proofErr w:type="spellStart"/>
      <w:r>
        <w:rPr>
          <w:rFonts w:hint="cs"/>
          <w:sz w:val="24"/>
          <w:szCs w:val="24"/>
          <w:rtl/>
        </w:rPr>
        <w:t>ריא</w:t>
      </w:r>
      <w:proofErr w:type="spellEnd"/>
      <w:r>
        <w:rPr>
          <w:rFonts w:hint="cs"/>
          <w:sz w:val="24"/>
          <w:szCs w:val="24"/>
          <w:rtl/>
        </w:rPr>
        <w:t>, ב)</w:t>
      </w:r>
    </w:p>
    <w:p w:rsidR="00F055DA" w:rsidRDefault="00F055DA" w:rsidP="00F055DA">
      <w:pPr>
        <w:rPr>
          <w:sz w:val="24"/>
          <w:szCs w:val="24"/>
          <w:rtl/>
        </w:rPr>
      </w:pPr>
      <w:r w:rsidRPr="00F055DA">
        <w:rPr>
          <w:rFonts w:cs="Arial"/>
          <w:sz w:val="24"/>
          <w:szCs w:val="24"/>
          <w:rtl/>
        </w:rPr>
        <w:t xml:space="preserve">וטעמא </w:t>
      </w:r>
      <w:proofErr w:type="spellStart"/>
      <w:r w:rsidRPr="00F055DA">
        <w:rPr>
          <w:rFonts w:cs="Arial"/>
          <w:sz w:val="24"/>
          <w:szCs w:val="24"/>
          <w:rtl/>
        </w:rPr>
        <w:t>דמילתא</w:t>
      </w:r>
      <w:proofErr w:type="spellEnd"/>
      <w:r w:rsidRPr="00F055DA">
        <w:rPr>
          <w:rFonts w:cs="Arial"/>
          <w:sz w:val="24"/>
          <w:szCs w:val="24"/>
          <w:rtl/>
        </w:rPr>
        <w:t xml:space="preserve"> </w:t>
      </w:r>
      <w:proofErr w:type="spellStart"/>
      <w:r w:rsidRPr="00F055DA">
        <w:rPr>
          <w:rFonts w:cs="Arial"/>
          <w:sz w:val="24"/>
          <w:szCs w:val="24"/>
          <w:rtl/>
        </w:rPr>
        <w:t>דכיון</w:t>
      </w:r>
      <w:proofErr w:type="spellEnd"/>
      <w:r w:rsidRPr="00F055DA">
        <w:rPr>
          <w:rFonts w:cs="Arial"/>
          <w:sz w:val="24"/>
          <w:szCs w:val="24"/>
          <w:rtl/>
        </w:rPr>
        <w:t xml:space="preserve"> דכאן הוי הטעם מפני ביטול הנדר </w:t>
      </w:r>
      <w:proofErr w:type="spellStart"/>
      <w:r w:rsidRPr="00F055DA">
        <w:rPr>
          <w:rFonts w:cs="Arial"/>
          <w:sz w:val="24"/>
          <w:szCs w:val="24"/>
          <w:rtl/>
        </w:rPr>
        <w:t>שעקריה</w:t>
      </w:r>
      <w:proofErr w:type="spellEnd"/>
      <w:r w:rsidRPr="00F055DA">
        <w:rPr>
          <w:rFonts w:cs="Arial"/>
          <w:sz w:val="24"/>
          <w:szCs w:val="24"/>
          <w:rtl/>
        </w:rPr>
        <w:t xml:space="preserve"> לנדריה מקודם ע"פ דיבורו צריך שיהא הדיבור ברור ומוברר בלא שום התרשלות ורפיון וכשאומר בלחש ואינו משמיע לאזנו או </w:t>
      </w:r>
      <w:proofErr w:type="spellStart"/>
      <w:r w:rsidRPr="00F055DA">
        <w:rPr>
          <w:rFonts w:cs="Arial"/>
          <w:sz w:val="24"/>
          <w:szCs w:val="24"/>
          <w:rtl/>
        </w:rPr>
        <w:t>להי"א</w:t>
      </w:r>
      <w:proofErr w:type="spellEnd"/>
      <w:r w:rsidRPr="00F055DA">
        <w:rPr>
          <w:rFonts w:cs="Arial"/>
          <w:sz w:val="24"/>
          <w:szCs w:val="24"/>
          <w:rtl/>
        </w:rPr>
        <w:t xml:space="preserve"> שלא בקול מראה בעצמו כאלו מסתפק בזה וא"כ נדרו קיים</w:t>
      </w:r>
    </w:p>
    <w:p w:rsidR="00DC2BD4" w:rsidRPr="00DC2BD4" w:rsidRDefault="00DC2BD4" w:rsidP="00F055DA">
      <w:pPr>
        <w:rPr>
          <w:sz w:val="24"/>
          <w:szCs w:val="24"/>
          <w:rtl/>
        </w:rPr>
      </w:pPr>
      <w:proofErr w:type="spellStart"/>
      <w:r>
        <w:rPr>
          <w:rFonts w:hint="cs"/>
          <w:b/>
          <w:bCs/>
          <w:sz w:val="24"/>
          <w:szCs w:val="24"/>
          <w:rtl/>
        </w:rPr>
        <w:t>בשו"ת</w:t>
      </w:r>
      <w:proofErr w:type="spellEnd"/>
      <w:r>
        <w:rPr>
          <w:rFonts w:hint="cs"/>
          <w:b/>
          <w:bCs/>
          <w:sz w:val="24"/>
          <w:szCs w:val="24"/>
          <w:rtl/>
        </w:rPr>
        <w:t xml:space="preserve"> זרע אמת </w:t>
      </w:r>
      <w:r>
        <w:rPr>
          <w:rStyle w:val="a5"/>
          <w:b/>
          <w:bCs/>
          <w:sz w:val="24"/>
          <w:szCs w:val="24"/>
          <w:rtl/>
        </w:rPr>
        <w:footnoteReference w:id="3"/>
      </w:r>
      <w:r>
        <w:rPr>
          <w:rFonts w:hint="cs"/>
          <w:sz w:val="24"/>
          <w:szCs w:val="24"/>
          <w:rtl/>
        </w:rPr>
        <w:t xml:space="preserve"> (ח"א, סימן צ) לוקח את הרעיון ההלכתי הזה צעד קדימה וכותב כי כיוון שצריך עקירת הנדר בצורה ברורה על ידי </w:t>
      </w:r>
      <w:proofErr w:type="spellStart"/>
      <w:r>
        <w:rPr>
          <w:rFonts w:hint="cs"/>
          <w:sz w:val="24"/>
          <w:szCs w:val="24"/>
          <w:rtl/>
        </w:rPr>
        <w:t>המודעא</w:t>
      </w:r>
      <w:proofErr w:type="spellEnd"/>
      <w:r>
        <w:rPr>
          <w:rFonts w:hint="cs"/>
          <w:sz w:val="24"/>
          <w:szCs w:val="24"/>
          <w:rtl/>
        </w:rPr>
        <w:t xml:space="preserve"> שמוסר לפני כן, הרי שאת המודעה לא רק שצריך לומר בקול רם אלא גם בפני עשרה אנשים (כמו שאומרת הגמרא במסכת כתובות לגבי בועז שפרסום הוא בפני עשרה אנשים). ורק כך הפכה המודעה מדברים שבלב , להוכחה מוחלטת שאכן ברצונו לעקור את הנדר שידור בהמשך. </w:t>
      </w:r>
      <w:bookmarkStart w:id="0" w:name="_GoBack"/>
      <w:bookmarkEnd w:id="0"/>
    </w:p>
    <w:p w:rsidR="00F055DA" w:rsidRDefault="00F055DA" w:rsidP="00F055DA">
      <w:pPr>
        <w:rPr>
          <w:sz w:val="24"/>
          <w:szCs w:val="24"/>
          <w:rtl/>
        </w:rPr>
      </w:pPr>
      <w:proofErr w:type="spellStart"/>
      <w:r>
        <w:rPr>
          <w:rFonts w:hint="cs"/>
          <w:b/>
          <w:bCs/>
          <w:sz w:val="24"/>
          <w:szCs w:val="24"/>
          <w:rtl/>
        </w:rPr>
        <w:t>בשו"ת</w:t>
      </w:r>
      <w:proofErr w:type="spellEnd"/>
      <w:r>
        <w:rPr>
          <w:rFonts w:hint="cs"/>
          <w:b/>
          <w:bCs/>
          <w:sz w:val="24"/>
          <w:szCs w:val="24"/>
          <w:rtl/>
        </w:rPr>
        <w:t xml:space="preserve"> מנחת יצחק </w:t>
      </w:r>
      <w:r w:rsidRPr="00931992">
        <w:rPr>
          <w:rFonts w:hint="cs"/>
          <w:sz w:val="24"/>
          <w:szCs w:val="24"/>
          <w:rtl/>
        </w:rPr>
        <w:t>(</w:t>
      </w:r>
      <w:proofErr w:type="spellStart"/>
      <w:r w:rsidRPr="00931992">
        <w:rPr>
          <w:rFonts w:hint="cs"/>
          <w:sz w:val="24"/>
          <w:szCs w:val="24"/>
          <w:rtl/>
        </w:rPr>
        <w:t>ח"ט</w:t>
      </w:r>
      <w:proofErr w:type="spellEnd"/>
      <w:r w:rsidRPr="00931992">
        <w:rPr>
          <w:rFonts w:hint="cs"/>
          <w:sz w:val="24"/>
          <w:szCs w:val="24"/>
          <w:rtl/>
        </w:rPr>
        <w:t xml:space="preserve">, סימן </w:t>
      </w:r>
      <w:proofErr w:type="spellStart"/>
      <w:r w:rsidRPr="00931992">
        <w:rPr>
          <w:rFonts w:hint="cs"/>
          <w:sz w:val="24"/>
          <w:szCs w:val="24"/>
          <w:rtl/>
        </w:rPr>
        <w:t>סא</w:t>
      </w:r>
      <w:proofErr w:type="spellEnd"/>
      <w:r>
        <w:rPr>
          <w:rFonts w:hint="cs"/>
          <w:b/>
          <w:bCs/>
          <w:sz w:val="24"/>
          <w:szCs w:val="24"/>
          <w:rtl/>
        </w:rPr>
        <w:t xml:space="preserve">) </w:t>
      </w:r>
      <w:r>
        <w:rPr>
          <w:rFonts w:hint="cs"/>
          <w:sz w:val="24"/>
          <w:szCs w:val="24"/>
          <w:rtl/>
        </w:rPr>
        <w:t>הקשה מדוע צריך למסור מודעה על ביטול נדרים מכאן ולהבא בהתרת נדרים שעושים לפני ראש השנה או יום כיפורים הרי ממילא ב"כל נדרי" מבטלים את הנדרים שנדור בשנה הבאה ? והשיב כי אנו חוששים ל</w:t>
      </w:r>
      <w:r w:rsidR="00A41979">
        <w:rPr>
          <w:rFonts w:hint="cs"/>
          <w:sz w:val="24"/>
          <w:szCs w:val="24"/>
          <w:rtl/>
        </w:rPr>
        <w:t xml:space="preserve">דעה שאדם הרוצה לבטל נדריו מכאן ולהבא צריך לפחות להשמיע לאוזנו את הביטול, ומכיוון שכאשר אומרים כל נדרי פסקו הפוסקים (בית לחם יהודה, מטה אפרים) שלא יגביהו הקהל קולם כדי שלא לבלבל את החזן והציבור ואם כן אינו יכול אדם בכל נדרי להשמיע לאוזנו (וקל וחומר לדברי </w:t>
      </w:r>
      <w:proofErr w:type="spellStart"/>
      <w:r w:rsidR="00A41979">
        <w:rPr>
          <w:rFonts w:hint="cs"/>
          <w:sz w:val="24"/>
          <w:szCs w:val="24"/>
          <w:rtl/>
        </w:rPr>
        <w:t>הש"ך</w:t>
      </w:r>
      <w:proofErr w:type="spellEnd"/>
      <w:r w:rsidR="00A41979">
        <w:rPr>
          <w:rFonts w:hint="cs"/>
          <w:sz w:val="24"/>
          <w:szCs w:val="24"/>
          <w:rtl/>
        </w:rPr>
        <w:t xml:space="preserve"> בשם רבינו ירוחם שצריך לומר בקול רם) את הביטול מכאן ולהבא ולכן תקנו לומר זאת גם בפורום מצומצם של התרת הנדרים. </w:t>
      </w:r>
    </w:p>
    <w:p w:rsidR="00931992" w:rsidRDefault="00A41979" w:rsidP="00931992">
      <w:pPr>
        <w:rPr>
          <w:sz w:val="24"/>
          <w:szCs w:val="24"/>
          <w:rtl/>
        </w:rPr>
      </w:pPr>
      <w:r>
        <w:rPr>
          <w:rFonts w:hint="cs"/>
          <w:sz w:val="24"/>
          <w:szCs w:val="24"/>
          <w:rtl/>
        </w:rPr>
        <w:t xml:space="preserve">אלא שלפי דבריו, יוצא לנו חידוש חשוב. גם בהתרת נדרים בערב ראש השנה בדרך כלל עומדת קבוצה לפני בית הדין ומוסרת את ביטול הנדרים מכאן ולהבא . לפי מה שלמדנו כאן, </w:t>
      </w:r>
      <w:r w:rsidR="00931992">
        <w:rPr>
          <w:rFonts w:hint="cs"/>
          <w:sz w:val="24"/>
          <w:szCs w:val="24"/>
          <w:rtl/>
        </w:rPr>
        <w:t xml:space="preserve">לפי דעת רבי אליעזר ממיץ והטור שפסק כמוהו </w:t>
      </w:r>
      <w:r>
        <w:rPr>
          <w:rFonts w:hint="cs"/>
          <w:sz w:val="24"/>
          <w:szCs w:val="24"/>
          <w:rtl/>
        </w:rPr>
        <w:t xml:space="preserve">צריך שכל אחד </w:t>
      </w:r>
      <w:proofErr w:type="spellStart"/>
      <w:r>
        <w:rPr>
          <w:rFonts w:hint="cs"/>
          <w:sz w:val="24"/>
          <w:szCs w:val="24"/>
          <w:rtl/>
        </w:rPr>
        <w:t>מהאומרים</w:t>
      </w:r>
      <w:proofErr w:type="spellEnd"/>
      <w:r>
        <w:rPr>
          <w:rFonts w:hint="cs"/>
          <w:sz w:val="24"/>
          <w:szCs w:val="24"/>
          <w:rtl/>
        </w:rPr>
        <w:t xml:space="preserve"> יאמר את המודעה לפחות בקול המגיע לאוזנו</w:t>
      </w:r>
      <w:r w:rsidR="00931992">
        <w:rPr>
          <w:rFonts w:hint="cs"/>
          <w:sz w:val="24"/>
          <w:szCs w:val="24"/>
          <w:rtl/>
        </w:rPr>
        <w:t xml:space="preserve"> (ב"ח) </w:t>
      </w:r>
      <w:r>
        <w:rPr>
          <w:rFonts w:hint="cs"/>
          <w:sz w:val="24"/>
          <w:szCs w:val="24"/>
          <w:rtl/>
        </w:rPr>
        <w:t xml:space="preserve"> ואם רוצה לצאת י</w:t>
      </w:r>
      <w:r w:rsidR="00931992">
        <w:rPr>
          <w:rFonts w:hint="cs"/>
          <w:sz w:val="24"/>
          <w:szCs w:val="24"/>
          <w:rtl/>
        </w:rPr>
        <w:t>די חובה כל הדעות אפילו בקול רם (</w:t>
      </w:r>
      <w:proofErr w:type="spellStart"/>
      <w:r w:rsidR="00931992">
        <w:rPr>
          <w:rFonts w:hint="cs"/>
          <w:sz w:val="24"/>
          <w:szCs w:val="24"/>
          <w:rtl/>
        </w:rPr>
        <w:t>ש"ך</w:t>
      </w:r>
      <w:proofErr w:type="spellEnd"/>
      <w:r w:rsidR="00931992">
        <w:rPr>
          <w:rFonts w:hint="cs"/>
          <w:sz w:val="24"/>
          <w:szCs w:val="24"/>
          <w:rtl/>
        </w:rPr>
        <w:t>).</w:t>
      </w:r>
    </w:p>
    <w:p w:rsidR="00931992" w:rsidRDefault="00931992" w:rsidP="00931992">
      <w:pPr>
        <w:rPr>
          <w:sz w:val="24"/>
          <w:szCs w:val="24"/>
          <w:rtl/>
        </w:rPr>
      </w:pPr>
      <w:proofErr w:type="spellStart"/>
      <w:r w:rsidRPr="00931992">
        <w:rPr>
          <w:rFonts w:hint="cs"/>
          <w:b/>
          <w:bCs/>
          <w:sz w:val="24"/>
          <w:szCs w:val="24"/>
          <w:rtl/>
        </w:rPr>
        <w:t>בשו"ת</w:t>
      </w:r>
      <w:proofErr w:type="spellEnd"/>
      <w:r w:rsidRPr="00931992">
        <w:rPr>
          <w:rFonts w:hint="cs"/>
          <w:b/>
          <w:bCs/>
          <w:sz w:val="24"/>
          <w:szCs w:val="24"/>
          <w:rtl/>
        </w:rPr>
        <w:t xml:space="preserve"> אור לציון</w:t>
      </w:r>
      <w:r>
        <w:rPr>
          <w:rFonts w:hint="cs"/>
          <w:sz w:val="24"/>
          <w:szCs w:val="24"/>
          <w:rtl/>
        </w:rPr>
        <w:t xml:space="preserve"> (חלק ד, הערות פרק א דיני סליחות והתרת נדרים) כתב כי כל מודעה שאדם מוסר , לא רק בהלכות נדרים, עליו לפחות להשמיע לאוזנו . ולדוגמא הוא מביא את המודעה הכתובה בספר עוד יוסף חי למרן הבן איש חי:</w:t>
      </w:r>
    </w:p>
    <w:p w:rsidR="00931992" w:rsidRDefault="00A22AD2" w:rsidP="00931992">
      <w:pPr>
        <w:rPr>
          <w:sz w:val="24"/>
          <w:szCs w:val="24"/>
          <w:rtl/>
        </w:rPr>
      </w:pPr>
      <w:r>
        <w:rPr>
          <w:rFonts w:hint="cs"/>
          <w:sz w:val="24"/>
          <w:szCs w:val="24"/>
          <w:rtl/>
        </w:rPr>
        <w:t>"</w:t>
      </w:r>
      <w:r w:rsidR="00931992" w:rsidRPr="00931992">
        <w:rPr>
          <w:sz w:val="24"/>
          <w:szCs w:val="24"/>
          <w:rtl/>
        </w:rPr>
        <w:t xml:space="preserve">והריני מגלה דעתי ורצוני לפני הקדוש ברוך הוא בלב שלם ובנפש חפצה </w:t>
      </w:r>
      <w:r w:rsidR="00931992" w:rsidRPr="00A22AD2">
        <w:rPr>
          <w:b/>
          <w:bCs/>
          <w:sz w:val="24"/>
          <w:szCs w:val="24"/>
          <w:rtl/>
        </w:rPr>
        <w:t>לבטל ביטול גמור ושלם כדין וכהלכה</w:t>
      </w:r>
      <w:r w:rsidR="00931992" w:rsidRPr="00931992">
        <w:rPr>
          <w:sz w:val="24"/>
          <w:szCs w:val="24"/>
          <w:rtl/>
        </w:rPr>
        <w:t xml:space="preserve">. כל מחשבה זרה פגומה ופסולה ואסורה. וכל מחשבה שיש בה </w:t>
      </w:r>
      <w:proofErr w:type="spellStart"/>
      <w:r w:rsidR="00931992" w:rsidRPr="00931992">
        <w:rPr>
          <w:sz w:val="24"/>
          <w:szCs w:val="24"/>
          <w:rtl/>
        </w:rPr>
        <w:t>כפרנות</w:t>
      </w:r>
      <w:proofErr w:type="spellEnd"/>
      <w:r w:rsidR="00931992" w:rsidRPr="00931992">
        <w:rPr>
          <w:sz w:val="24"/>
          <w:szCs w:val="24"/>
          <w:rtl/>
        </w:rPr>
        <w:t xml:space="preserve"> חס ושלום. וכל הרהור של </w:t>
      </w:r>
      <w:proofErr w:type="spellStart"/>
      <w:r w:rsidR="00931992" w:rsidRPr="00931992">
        <w:rPr>
          <w:sz w:val="24"/>
          <w:szCs w:val="24"/>
          <w:rtl/>
        </w:rPr>
        <w:t>יוהרא</w:t>
      </w:r>
      <w:proofErr w:type="spellEnd"/>
      <w:r w:rsidR="00931992" w:rsidRPr="00931992">
        <w:rPr>
          <w:sz w:val="24"/>
          <w:szCs w:val="24"/>
          <w:rtl/>
        </w:rPr>
        <w:t xml:space="preserve"> ושמץ גאווה ופניה שאינה טובה. וכל מין כעס וזעם והקפדה. אם יעלו בליבי ומוחי בכל עת ועת, והריני מתנה עליהם שיהיו כולם בטלים ומבוטלים ביטול גמור מכל צד ופינה. לא </w:t>
      </w:r>
      <w:proofErr w:type="spellStart"/>
      <w:r w:rsidR="00931992" w:rsidRPr="00931992">
        <w:rPr>
          <w:sz w:val="24"/>
          <w:szCs w:val="24"/>
          <w:rtl/>
        </w:rPr>
        <w:t>שרירין</w:t>
      </w:r>
      <w:proofErr w:type="spellEnd"/>
      <w:r w:rsidR="00931992" w:rsidRPr="00931992">
        <w:rPr>
          <w:sz w:val="24"/>
          <w:szCs w:val="24"/>
          <w:rtl/>
        </w:rPr>
        <w:t xml:space="preserve"> ולא קיימין. ולא יהיו </w:t>
      </w:r>
      <w:proofErr w:type="spellStart"/>
      <w:r w:rsidR="00931992" w:rsidRPr="00931992">
        <w:rPr>
          <w:sz w:val="24"/>
          <w:szCs w:val="24"/>
          <w:rtl/>
        </w:rPr>
        <w:t>חלין</w:t>
      </w:r>
      <w:proofErr w:type="spellEnd"/>
      <w:r w:rsidR="00931992" w:rsidRPr="00931992">
        <w:rPr>
          <w:sz w:val="24"/>
          <w:szCs w:val="24"/>
          <w:rtl/>
        </w:rPr>
        <w:t xml:space="preserve"> כלל ועיקר. ויהיה כוח ואומץ וחוזק תנאי זה ומודעה וגילוי דעת זה שאני מתנה ומודיע ומגלה דעתי לפני הקדוש ברוך הוא ככוח ואומץ וחוזק דין התנאים ומודעות וגילוי דעת אשר הורו חכמים </w:t>
      </w:r>
      <w:proofErr w:type="spellStart"/>
      <w:r w:rsidR="00931992" w:rsidRPr="00931992">
        <w:rPr>
          <w:sz w:val="24"/>
          <w:szCs w:val="24"/>
          <w:rtl/>
        </w:rPr>
        <w:t>זכרונם</w:t>
      </w:r>
      <w:proofErr w:type="spellEnd"/>
      <w:r w:rsidR="00931992" w:rsidRPr="00931992">
        <w:rPr>
          <w:sz w:val="24"/>
          <w:szCs w:val="24"/>
          <w:rtl/>
        </w:rPr>
        <w:t xml:space="preserve"> לברכה בהלכות </w:t>
      </w:r>
      <w:proofErr w:type="spellStart"/>
      <w:r w:rsidR="00931992" w:rsidRPr="00931992">
        <w:rPr>
          <w:sz w:val="24"/>
          <w:szCs w:val="24"/>
          <w:rtl/>
        </w:rPr>
        <w:t>קנינים</w:t>
      </w:r>
      <w:proofErr w:type="spellEnd"/>
      <w:r w:rsidR="00931992" w:rsidRPr="00931992">
        <w:rPr>
          <w:sz w:val="24"/>
          <w:szCs w:val="24"/>
          <w:rtl/>
        </w:rPr>
        <w:t xml:space="preserve"> ומקח וממכר. וכמו דין התנאים ומודעות וביטול שבועות ונדרים שהורו חכמים </w:t>
      </w:r>
      <w:proofErr w:type="spellStart"/>
      <w:r w:rsidR="00931992" w:rsidRPr="00931992">
        <w:rPr>
          <w:sz w:val="24"/>
          <w:szCs w:val="24"/>
          <w:rtl/>
        </w:rPr>
        <w:t>זכרונם</w:t>
      </w:r>
      <w:proofErr w:type="spellEnd"/>
      <w:r w:rsidR="00931992" w:rsidRPr="00931992">
        <w:rPr>
          <w:sz w:val="24"/>
          <w:szCs w:val="24"/>
          <w:rtl/>
        </w:rPr>
        <w:t xml:space="preserve"> לברכה בהלכות שבועות ונדרים. ויהיה כוח ביטול זה קיים ומועיל על פי דין התורה הקדושה כדין ביטול החמץ קודם חג הפסח. ויהיה תנאי זה ומודעה וגילוי דעת זה אשר אני מתנה </w:t>
      </w:r>
      <w:r w:rsidR="00931992" w:rsidRPr="00931992">
        <w:rPr>
          <w:sz w:val="24"/>
          <w:szCs w:val="24"/>
          <w:rtl/>
        </w:rPr>
        <w:lastRenderedPageBreak/>
        <w:t xml:space="preserve">ומודיע ומגלה דעתי </w:t>
      </w:r>
      <w:proofErr w:type="spellStart"/>
      <w:r w:rsidR="00931992" w:rsidRPr="00931992">
        <w:rPr>
          <w:sz w:val="24"/>
          <w:szCs w:val="24"/>
          <w:rtl/>
        </w:rPr>
        <w:t>שרירין</w:t>
      </w:r>
      <w:proofErr w:type="spellEnd"/>
      <w:r w:rsidR="00931992" w:rsidRPr="00931992">
        <w:rPr>
          <w:sz w:val="24"/>
          <w:szCs w:val="24"/>
          <w:rtl/>
        </w:rPr>
        <w:t xml:space="preserve"> </w:t>
      </w:r>
      <w:proofErr w:type="spellStart"/>
      <w:r w:rsidR="00931992" w:rsidRPr="00931992">
        <w:rPr>
          <w:sz w:val="24"/>
          <w:szCs w:val="24"/>
          <w:rtl/>
        </w:rPr>
        <w:t>וברירין</w:t>
      </w:r>
      <w:proofErr w:type="spellEnd"/>
      <w:r w:rsidR="00931992" w:rsidRPr="00931992">
        <w:rPr>
          <w:sz w:val="24"/>
          <w:szCs w:val="24"/>
          <w:rtl/>
        </w:rPr>
        <w:t xml:space="preserve"> וקיימין בבית דין של מעלה ובבית דין של מטה ובישיבות כל הצדיקים זקנים ונביאים ואנשי כנסת הגדולה </w:t>
      </w:r>
      <w:proofErr w:type="spellStart"/>
      <w:r w:rsidR="00931992" w:rsidRPr="00931992">
        <w:rPr>
          <w:sz w:val="24"/>
          <w:szCs w:val="24"/>
          <w:rtl/>
        </w:rPr>
        <w:t>ותנאין</w:t>
      </w:r>
      <w:proofErr w:type="spellEnd"/>
      <w:r w:rsidR="00931992" w:rsidRPr="00931992">
        <w:rPr>
          <w:sz w:val="24"/>
          <w:szCs w:val="24"/>
          <w:rtl/>
        </w:rPr>
        <w:t xml:space="preserve"> </w:t>
      </w:r>
      <w:proofErr w:type="spellStart"/>
      <w:r w:rsidR="00931992" w:rsidRPr="00931992">
        <w:rPr>
          <w:sz w:val="24"/>
          <w:szCs w:val="24"/>
          <w:rtl/>
        </w:rPr>
        <w:t>ואמוראין</w:t>
      </w:r>
      <w:proofErr w:type="spellEnd"/>
      <w:r w:rsidR="00931992" w:rsidRPr="00931992">
        <w:rPr>
          <w:sz w:val="24"/>
          <w:szCs w:val="24"/>
          <w:rtl/>
        </w:rPr>
        <w:t xml:space="preserve"> וכל חכמי ישראל</w:t>
      </w:r>
      <w:r>
        <w:rPr>
          <w:sz w:val="24"/>
          <w:szCs w:val="24"/>
        </w:rPr>
        <w:t>"</w:t>
      </w:r>
    </w:p>
    <w:p w:rsidR="00A22AD2" w:rsidRPr="00A22AD2" w:rsidRDefault="00A22AD2" w:rsidP="00931992">
      <w:pPr>
        <w:rPr>
          <w:rFonts w:asciiTheme="minorBidi" w:hAnsiTheme="minorBidi"/>
          <w:sz w:val="24"/>
          <w:szCs w:val="24"/>
          <w:rtl/>
        </w:rPr>
      </w:pPr>
      <w:r>
        <w:rPr>
          <w:rFonts w:asciiTheme="minorBidi" w:hAnsiTheme="minorBidi" w:hint="cs"/>
          <w:sz w:val="24"/>
          <w:szCs w:val="24"/>
          <w:rtl/>
        </w:rPr>
        <w:t xml:space="preserve">אחרי בקשת המחילה , לעניות דעתי אין קשר בין מודעה בענייני הנדרים למודעה הזו המופיעה בספר עוד יוסף חי. בנדרים כמו שכתב הערוך השולחן היא להוציא מידי "דברים שבלב" ולכן צריך להשמיע לאוזנו או לומר בקול רם לדעת </w:t>
      </w:r>
      <w:proofErr w:type="spellStart"/>
      <w:r>
        <w:rPr>
          <w:rFonts w:asciiTheme="minorBidi" w:hAnsiTheme="minorBidi" w:hint="cs"/>
          <w:sz w:val="24"/>
          <w:szCs w:val="24"/>
          <w:rtl/>
        </w:rPr>
        <w:t>הש"ך</w:t>
      </w:r>
      <w:proofErr w:type="spellEnd"/>
      <w:r>
        <w:rPr>
          <w:rFonts w:asciiTheme="minorBidi" w:hAnsiTheme="minorBidi" w:hint="cs"/>
          <w:sz w:val="24"/>
          <w:szCs w:val="24"/>
          <w:rtl/>
        </w:rPr>
        <w:t xml:space="preserve">. אך בתפילת רבינו הבן איש חי וכי אדם שיחשוב בלבב שלם על הדברים שכתובים במודעה הזו, לא תהיה לכך מעלה רוחנית? לכן נראה לי לומר כי אני להסיק מהלכות נדרים למודעות אחרות וכל מקרה לגופו על פי הקריטריונים שכתבנו עליהם במאמר זה. </w:t>
      </w:r>
    </w:p>
    <w:p w:rsidR="00A41979" w:rsidRDefault="00931992" w:rsidP="00931992">
      <w:pPr>
        <w:rPr>
          <w:sz w:val="24"/>
          <w:szCs w:val="24"/>
          <w:rtl/>
        </w:rPr>
      </w:pPr>
      <w:r>
        <w:rPr>
          <w:rFonts w:hint="cs"/>
          <w:sz w:val="24"/>
          <w:szCs w:val="24"/>
          <w:rtl/>
        </w:rPr>
        <w:t xml:space="preserve"> </w:t>
      </w:r>
    </w:p>
    <w:p w:rsidR="00931992" w:rsidRPr="00F055DA" w:rsidRDefault="00931992" w:rsidP="00F055DA">
      <w:pPr>
        <w:rPr>
          <w:sz w:val="24"/>
          <w:szCs w:val="24"/>
          <w:rtl/>
        </w:rPr>
      </w:pPr>
    </w:p>
    <w:p w:rsidR="00F055DA" w:rsidRPr="0048213F" w:rsidRDefault="00F055DA" w:rsidP="002264EA">
      <w:pPr>
        <w:rPr>
          <w:sz w:val="24"/>
          <w:szCs w:val="24"/>
          <w:rtl/>
        </w:rPr>
      </w:pPr>
    </w:p>
    <w:p w:rsidR="002264EA" w:rsidRPr="0091583F" w:rsidRDefault="002264EA" w:rsidP="002264EA">
      <w:pPr>
        <w:rPr>
          <w:sz w:val="24"/>
          <w:szCs w:val="24"/>
          <w:rtl/>
        </w:rPr>
      </w:pPr>
    </w:p>
    <w:p w:rsidR="00D030EF" w:rsidRDefault="00D030EF">
      <w:pPr>
        <w:rPr>
          <w:b/>
          <w:bCs/>
          <w:sz w:val="32"/>
          <w:szCs w:val="32"/>
          <w:rtl/>
        </w:rPr>
      </w:pPr>
    </w:p>
    <w:p w:rsidR="00D030EF" w:rsidRPr="00D030EF" w:rsidRDefault="00D030EF">
      <w:pPr>
        <w:rPr>
          <w:b/>
          <w:bCs/>
          <w:sz w:val="32"/>
          <w:szCs w:val="32"/>
        </w:rPr>
      </w:pPr>
    </w:p>
    <w:sectPr w:rsidR="00D030EF" w:rsidRPr="00D030EF"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CBB" w:rsidRDefault="00DA5CBB" w:rsidP="002264EA">
      <w:pPr>
        <w:spacing w:after="0" w:line="240" w:lineRule="auto"/>
      </w:pPr>
      <w:r>
        <w:separator/>
      </w:r>
    </w:p>
  </w:endnote>
  <w:endnote w:type="continuationSeparator" w:id="0">
    <w:p w:rsidR="00DA5CBB" w:rsidRDefault="00DA5CBB" w:rsidP="0022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CBB" w:rsidRDefault="00DA5CBB" w:rsidP="002264EA">
      <w:pPr>
        <w:spacing w:after="0" w:line="240" w:lineRule="auto"/>
      </w:pPr>
      <w:r>
        <w:separator/>
      </w:r>
    </w:p>
  </w:footnote>
  <w:footnote w:type="continuationSeparator" w:id="0">
    <w:p w:rsidR="00DA5CBB" w:rsidRDefault="00DA5CBB" w:rsidP="002264EA">
      <w:pPr>
        <w:spacing w:after="0" w:line="240" w:lineRule="auto"/>
      </w:pPr>
      <w:r>
        <w:continuationSeparator/>
      </w:r>
    </w:p>
  </w:footnote>
  <w:footnote w:id="1">
    <w:p w:rsidR="002264EA" w:rsidRDefault="002264EA">
      <w:pPr>
        <w:pStyle w:val="a3"/>
        <w:rPr>
          <w:rtl/>
        </w:rPr>
      </w:pPr>
      <w:r>
        <w:rPr>
          <w:rStyle w:val="a5"/>
        </w:rPr>
        <w:footnoteRef/>
      </w:r>
      <w:r>
        <w:rPr>
          <w:rtl/>
        </w:rPr>
        <w:t xml:space="preserve"> </w:t>
      </w:r>
      <w:r>
        <w:rPr>
          <w:rFonts w:hint="cs"/>
          <w:rtl/>
        </w:rPr>
        <w:t xml:space="preserve">ואם תשאל אם כן מדוע הביא מרן גם את דעת היש אומרים ? שמעתי ממו"ר הראשון לציון רבי יצחק יוסף, כי מרן רצה לחלוק כבוד גם לראשונים שלדעתו אין הלכה כמותם. </w:t>
      </w:r>
    </w:p>
  </w:footnote>
  <w:footnote w:id="2">
    <w:p w:rsidR="00F055DA" w:rsidRDefault="00F055DA">
      <w:pPr>
        <w:pStyle w:val="a3"/>
      </w:pPr>
      <w:r>
        <w:rPr>
          <w:rStyle w:val="a5"/>
        </w:rPr>
        <w:footnoteRef/>
      </w:r>
      <w:r>
        <w:rPr>
          <w:rtl/>
        </w:rPr>
        <w:t xml:space="preserve"> </w:t>
      </w:r>
      <w:r>
        <w:rPr>
          <w:rFonts w:hint="cs"/>
          <w:rtl/>
        </w:rPr>
        <w:t xml:space="preserve">בלשונו הזהב "דברים שבלב </w:t>
      </w:r>
      <w:proofErr w:type="spellStart"/>
      <w:r>
        <w:rPr>
          <w:rFonts w:hint="cs"/>
          <w:rtl/>
        </w:rPr>
        <w:t>דמוכחי</w:t>
      </w:r>
      <w:proofErr w:type="spellEnd"/>
      <w:r>
        <w:rPr>
          <w:rFonts w:hint="cs"/>
          <w:rtl/>
        </w:rPr>
        <w:t>"</w:t>
      </w:r>
    </w:p>
  </w:footnote>
  <w:footnote w:id="3">
    <w:p w:rsidR="00DC2BD4" w:rsidRDefault="00DC2BD4">
      <w:pPr>
        <w:pStyle w:val="a3"/>
        <w:rPr>
          <w:rFonts w:hint="cs"/>
        </w:rPr>
      </w:pPr>
      <w:r>
        <w:rPr>
          <w:rStyle w:val="a5"/>
        </w:rPr>
        <w:footnoteRef/>
      </w:r>
      <w:r>
        <w:rPr>
          <w:rtl/>
        </w:rPr>
        <w:t xml:space="preserve"> </w:t>
      </w:r>
      <w:r>
        <w:rPr>
          <w:rFonts w:hint="cs"/>
          <w:rtl/>
        </w:rPr>
        <w:t>רבי ישמעאל הכהן , מגדולי רבני איטליה בסוף המאה ה-18 . נפטר 1811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EF"/>
    <w:rsid w:val="001850AE"/>
    <w:rsid w:val="002264EA"/>
    <w:rsid w:val="003613DC"/>
    <w:rsid w:val="0048213F"/>
    <w:rsid w:val="0061287D"/>
    <w:rsid w:val="00905C59"/>
    <w:rsid w:val="0091583F"/>
    <w:rsid w:val="00931992"/>
    <w:rsid w:val="00A22AD2"/>
    <w:rsid w:val="00A41979"/>
    <w:rsid w:val="00BB545D"/>
    <w:rsid w:val="00D030EF"/>
    <w:rsid w:val="00DA5CBB"/>
    <w:rsid w:val="00DC2BD4"/>
    <w:rsid w:val="00F055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F4C1"/>
  <w15:chartTrackingRefBased/>
  <w15:docId w15:val="{F6DCABB4-4731-4862-A1A9-3CA5F3A7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264EA"/>
    <w:pPr>
      <w:spacing w:after="0" w:line="240" w:lineRule="auto"/>
    </w:pPr>
    <w:rPr>
      <w:sz w:val="20"/>
      <w:szCs w:val="20"/>
    </w:rPr>
  </w:style>
  <w:style w:type="character" w:customStyle="1" w:styleId="a4">
    <w:name w:val="טקסט הערת שוליים תו"/>
    <w:basedOn w:val="a0"/>
    <w:link w:val="a3"/>
    <w:uiPriority w:val="99"/>
    <w:semiHidden/>
    <w:rsid w:val="002264EA"/>
    <w:rPr>
      <w:sz w:val="20"/>
      <w:szCs w:val="20"/>
    </w:rPr>
  </w:style>
  <w:style w:type="character" w:styleId="a5">
    <w:name w:val="footnote reference"/>
    <w:basedOn w:val="a0"/>
    <w:uiPriority w:val="99"/>
    <w:semiHidden/>
    <w:unhideWhenUsed/>
    <w:rsid w:val="00226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23666">
      <w:bodyDiv w:val="1"/>
      <w:marLeft w:val="0"/>
      <w:marRight w:val="0"/>
      <w:marTop w:val="0"/>
      <w:marBottom w:val="0"/>
      <w:divBdr>
        <w:top w:val="none" w:sz="0" w:space="0" w:color="auto"/>
        <w:left w:val="none" w:sz="0" w:space="0" w:color="auto"/>
        <w:bottom w:val="none" w:sz="0" w:space="0" w:color="auto"/>
        <w:right w:val="none" w:sz="0" w:space="0" w:color="auto"/>
      </w:divBdr>
    </w:div>
    <w:div w:id="16072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D3B0C-055B-43DE-866A-B5144710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955</Words>
  <Characters>4777</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2024-01-13T18:28:00Z</dcterms:created>
  <dcterms:modified xsi:type="dcterms:W3CDTF">2024-01-14T18:10:00Z</dcterms:modified>
</cp:coreProperties>
</file>