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25F" w:rsidRDefault="003F16CF">
      <w:pPr>
        <w:rPr>
          <w:rtl/>
        </w:rPr>
      </w:pPr>
    </w:p>
    <w:p w:rsidR="006C3659" w:rsidRPr="00EA594F" w:rsidRDefault="00EA594F">
      <w:pPr>
        <w:rPr>
          <w:b/>
          <w:bCs/>
          <w:sz w:val="36"/>
          <w:szCs w:val="36"/>
          <w:rtl/>
        </w:rPr>
      </w:pPr>
      <w:r>
        <w:rPr>
          <w:rFonts w:hint="cs"/>
          <w:rtl/>
        </w:rPr>
        <w:t xml:space="preserve">                          </w:t>
      </w:r>
      <w:r w:rsidR="006C3659" w:rsidRPr="00EA594F">
        <w:rPr>
          <w:rFonts w:hint="cs"/>
          <w:sz w:val="36"/>
          <w:szCs w:val="36"/>
          <w:rtl/>
        </w:rPr>
        <w:t xml:space="preserve"> </w:t>
      </w:r>
      <w:r w:rsidR="006C3659" w:rsidRPr="00EA594F">
        <w:rPr>
          <w:rFonts w:hint="cs"/>
          <w:b/>
          <w:bCs/>
          <w:sz w:val="36"/>
          <w:szCs w:val="36"/>
          <w:rtl/>
        </w:rPr>
        <w:t xml:space="preserve">האם יש יד ל...  </w:t>
      </w:r>
      <w:r w:rsidR="006C3659" w:rsidRPr="00EA594F">
        <w:rPr>
          <w:b/>
          <w:bCs/>
          <w:sz w:val="36"/>
          <w:szCs w:val="36"/>
          <w:rtl/>
        </w:rPr>
        <w:t>–</w:t>
      </w:r>
      <w:r w:rsidR="006C3659" w:rsidRPr="00EA594F">
        <w:rPr>
          <w:rFonts w:hint="cs"/>
          <w:b/>
          <w:bCs/>
          <w:sz w:val="36"/>
          <w:szCs w:val="36"/>
          <w:rtl/>
        </w:rPr>
        <w:t xml:space="preserve"> דף ו עמוד ב</w:t>
      </w:r>
    </w:p>
    <w:p w:rsidR="006C3659" w:rsidRDefault="006C3659" w:rsidP="000B0849">
      <w:pPr>
        <w:rPr>
          <w:sz w:val="24"/>
          <w:szCs w:val="24"/>
          <w:rtl/>
        </w:rPr>
      </w:pPr>
      <w:r>
        <w:rPr>
          <w:rFonts w:hint="cs"/>
          <w:sz w:val="24"/>
          <w:szCs w:val="24"/>
          <w:rtl/>
        </w:rPr>
        <w:t xml:space="preserve">הגמרא מתלבטת לגבי </w:t>
      </w:r>
      <w:r w:rsidR="000B0849">
        <w:rPr>
          <w:rFonts w:hint="cs"/>
          <w:sz w:val="24"/>
          <w:szCs w:val="24"/>
          <w:rtl/>
        </w:rPr>
        <w:t xml:space="preserve">חמשה </w:t>
      </w:r>
      <w:r>
        <w:rPr>
          <w:rFonts w:hint="cs"/>
          <w:sz w:val="24"/>
          <w:szCs w:val="24"/>
          <w:rtl/>
        </w:rPr>
        <w:t xml:space="preserve"> נושאים האם כאשר אדם אמר משפט שלא ברורה כוונתו , אפשר לשער למה התכוון "ולהמשיך" את המשפט או שמא כל עוד לא אמר בעצמו את המשפט המלא, אין הדבר מחייב אותו. </w:t>
      </w:r>
      <w:r w:rsidR="000B0849">
        <w:rPr>
          <w:rFonts w:hint="cs"/>
          <w:sz w:val="24"/>
          <w:szCs w:val="24"/>
          <w:rtl/>
        </w:rPr>
        <w:t xml:space="preserve">הגמרא מסיימת שכל חמשת הנושאים נשארים בתיקו חמשת </w:t>
      </w:r>
      <w:r>
        <w:rPr>
          <w:rFonts w:hint="cs"/>
          <w:sz w:val="24"/>
          <w:szCs w:val="24"/>
          <w:rtl/>
        </w:rPr>
        <w:t xml:space="preserve"> הנושאים הם:</w:t>
      </w:r>
    </w:p>
    <w:p w:rsidR="006C3659" w:rsidRPr="00AD4A09" w:rsidRDefault="006C3659">
      <w:pPr>
        <w:rPr>
          <w:b/>
          <w:bCs/>
          <w:sz w:val="24"/>
          <w:szCs w:val="24"/>
          <w:rtl/>
        </w:rPr>
      </w:pPr>
      <w:r w:rsidRPr="00AD4A09">
        <w:rPr>
          <w:rFonts w:hint="cs"/>
          <w:b/>
          <w:bCs/>
          <w:sz w:val="24"/>
          <w:szCs w:val="24"/>
          <w:rtl/>
        </w:rPr>
        <w:t xml:space="preserve">א. יד לקידושין    ב. יד למצוות פאה     ג. יד לצדקה      </w:t>
      </w:r>
      <w:proofErr w:type="spellStart"/>
      <w:r w:rsidRPr="00AD4A09">
        <w:rPr>
          <w:rFonts w:hint="cs"/>
          <w:b/>
          <w:bCs/>
          <w:sz w:val="24"/>
          <w:szCs w:val="24"/>
          <w:rtl/>
        </w:rPr>
        <w:t>ד.יד</w:t>
      </w:r>
      <w:proofErr w:type="spellEnd"/>
      <w:r w:rsidRPr="00AD4A09">
        <w:rPr>
          <w:rFonts w:hint="cs"/>
          <w:b/>
          <w:bCs/>
          <w:sz w:val="24"/>
          <w:szCs w:val="24"/>
          <w:rtl/>
        </w:rPr>
        <w:t xml:space="preserve"> להפקר </w:t>
      </w:r>
      <w:r w:rsidR="000B0849" w:rsidRPr="00AD4A09">
        <w:rPr>
          <w:rFonts w:hint="cs"/>
          <w:b/>
          <w:bCs/>
          <w:sz w:val="24"/>
          <w:szCs w:val="24"/>
          <w:rtl/>
        </w:rPr>
        <w:t xml:space="preserve"> ה. יד לבית </w:t>
      </w:r>
      <w:proofErr w:type="spellStart"/>
      <w:r w:rsidR="000B0849" w:rsidRPr="00AD4A09">
        <w:rPr>
          <w:rFonts w:hint="cs"/>
          <w:b/>
          <w:bCs/>
          <w:sz w:val="24"/>
          <w:szCs w:val="24"/>
          <w:rtl/>
        </w:rPr>
        <w:t>הכסא</w:t>
      </w:r>
      <w:proofErr w:type="spellEnd"/>
    </w:p>
    <w:p w:rsidR="006C3659" w:rsidRDefault="006C3659">
      <w:pPr>
        <w:rPr>
          <w:sz w:val="24"/>
          <w:szCs w:val="24"/>
          <w:rtl/>
        </w:rPr>
      </w:pPr>
      <w:r>
        <w:rPr>
          <w:rFonts w:hint="cs"/>
          <w:sz w:val="24"/>
          <w:szCs w:val="24"/>
          <w:rtl/>
        </w:rPr>
        <w:t xml:space="preserve">נעיין בכל אחד מהם בנפרד, ונביא את פסקי ההלכה של הראשונים והאחרונים. </w:t>
      </w:r>
    </w:p>
    <w:p w:rsidR="006C3659" w:rsidRDefault="006C3659">
      <w:pPr>
        <w:rPr>
          <w:rFonts w:asciiTheme="minorBidi" w:hAnsiTheme="minorBidi"/>
          <w:b/>
          <w:bCs/>
          <w:sz w:val="36"/>
          <w:szCs w:val="36"/>
          <w:rtl/>
        </w:rPr>
      </w:pPr>
      <w:r>
        <w:rPr>
          <w:rFonts w:hint="cs"/>
          <w:sz w:val="24"/>
          <w:szCs w:val="24"/>
          <w:rtl/>
        </w:rPr>
        <w:t xml:space="preserve">                              </w:t>
      </w:r>
      <w:r w:rsidR="00C303CE">
        <w:rPr>
          <w:rFonts w:hint="cs"/>
          <w:sz w:val="24"/>
          <w:szCs w:val="24"/>
          <w:rtl/>
        </w:rPr>
        <w:t xml:space="preserve">     </w:t>
      </w:r>
      <w:r>
        <w:rPr>
          <w:rFonts w:hint="cs"/>
          <w:sz w:val="24"/>
          <w:szCs w:val="24"/>
          <w:rtl/>
        </w:rPr>
        <w:t xml:space="preserve"> </w:t>
      </w:r>
      <w:r w:rsidR="00C303CE">
        <w:rPr>
          <w:rFonts w:hint="cs"/>
          <w:b/>
          <w:bCs/>
          <w:sz w:val="24"/>
          <w:szCs w:val="24"/>
          <w:rtl/>
        </w:rPr>
        <w:t xml:space="preserve">א. </w:t>
      </w:r>
      <w:r>
        <w:rPr>
          <w:rFonts w:hint="cs"/>
          <w:sz w:val="24"/>
          <w:szCs w:val="24"/>
          <w:rtl/>
        </w:rPr>
        <w:t xml:space="preserve"> </w:t>
      </w:r>
      <w:r w:rsidR="000B0849">
        <w:rPr>
          <w:rFonts w:asciiTheme="minorBidi" w:hAnsiTheme="minorBidi" w:hint="cs"/>
          <w:b/>
          <w:bCs/>
          <w:sz w:val="36"/>
          <w:szCs w:val="36"/>
          <w:rtl/>
        </w:rPr>
        <w:t>יד לקידושין</w:t>
      </w:r>
    </w:p>
    <w:p w:rsidR="000B0849" w:rsidRDefault="000B0849" w:rsidP="000B0849">
      <w:pPr>
        <w:rPr>
          <w:rFonts w:asciiTheme="minorBidi" w:hAnsiTheme="minorBidi"/>
          <w:sz w:val="24"/>
          <w:szCs w:val="24"/>
          <w:rtl/>
        </w:rPr>
      </w:pPr>
      <w:r w:rsidRPr="00AD4A09">
        <w:rPr>
          <w:rFonts w:asciiTheme="minorBidi" w:hAnsiTheme="minorBidi" w:hint="cs"/>
          <w:b/>
          <w:bCs/>
          <w:sz w:val="24"/>
          <w:szCs w:val="24"/>
          <w:u w:val="single"/>
          <w:rtl/>
        </w:rPr>
        <w:t>המקרה</w:t>
      </w:r>
      <w:r w:rsidRPr="000B0849">
        <w:rPr>
          <w:rFonts w:asciiTheme="minorBidi" w:hAnsiTheme="minorBidi" w:hint="cs"/>
          <w:b/>
          <w:bCs/>
          <w:sz w:val="24"/>
          <w:szCs w:val="24"/>
          <w:rtl/>
        </w:rPr>
        <w:t>:</w:t>
      </w:r>
      <w:r>
        <w:rPr>
          <w:rFonts w:asciiTheme="minorBidi" w:hAnsiTheme="minorBidi" w:hint="cs"/>
          <w:sz w:val="24"/>
          <w:szCs w:val="24"/>
          <w:rtl/>
        </w:rPr>
        <w:t xml:space="preserve"> רב </w:t>
      </w:r>
      <w:proofErr w:type="spellStart"/>
      <w:r>
        <w:rPr>
          <w:rFonts w:asciiTheme="minorBidi" w:hAnsiTheme="minorBidi" w:hint="cs"/>
          <w:sz w:val="24"/>
          <w:szCs w:val="24"/>
          <w:rtl/>
        </w:rPr>
        <w:t>פפא</w:t>
      </w:r>
      <w:proofErr w:type="spellEnd"/>
      <w:r>
        <w:rPr>
          <w:rFonts w:asciiTheme="minorBidi" w:hAnsiTheme="minorBidi" w:hint="cs"/>
          <w:sz w:val="24"/>
          <w:szCs w:val="24"/>
          <w:rtl/>
        </w:rPr>
        <w:t xml:space="preserve"> מתלבט במקרה שאדם אמר לאשה "הרי את מקודשת לי" ואז פנה לחברתה ואמר "ואת" . האם אפשר לומר כי כוונתו  "ואת גם מקודשת" או שכיוון שיש אפשרות שאמר "ואת תראי את הקידושין", אינה מקודשת.  </w:t>
      </w:r>
    </w:p>
    <w:p w:rsidR="000B0849" w:rsidRDefault="000B0849" w:rsidP="000F60F7">
      <w:pPr>
        <w:rPr>
          <w:rFonts w:asciiTheme="minorBidi" w:hAnsiTheme="minorBidi"/>
          <w:sz w:val="24"/>
          <w:szCs w:val="24"/>
          <w:rtl/>
        </w:rPr>
      </w:pPr>
      <w:proofErr w:type="spellStart"/>
      <w:r>
        <w:rPr>
          <w:rFonts w:asciiTheme="minorBidi" w:hAnsiTheme="minorBidi" w:hint="cs"/>
          <w:b/>
          <w:bCs/>
          <w:sz w:val="24"/>
          <w:szCs w:val="24"/>
          <w:rtl/>
        </w:rPr>
        <w:t>הרשב"א</w:t>
      </w:r>
      <w:proofErr w:type="spellEnd"/>
      <w:r>
        <w:rPr>
          <w:rFonts w:asciiTheme="minorBidi" w:hAnsiTheme="minorBidi" w:hint="cs"/>
          <w:b/>
          <w:bCs/>
          <w:sz w:val="24"/>
          <w:szCs w:val="24"/>
          <w:rtl/>
        </w:rPr>
        <w:t xml:space="preserve"> </w:t>
      </w:r>
      <w:r w:rsidR="000F60F7">
        <w:rPr>
          <w:rFonts w:asciiTheme="minorBidi" w:hAnsiTheme="minorBidi" w:hint="cs"/>
          <w:sz w:val="24"/>
          <w:szCs w:val="24"/>
          <w:rtl/>
        </w:rPr>
        <w:t>מעיר</w:t>
      </w:r>
      <w:r>
        <w:rPr>
          <w:rFonts w:asciiTheme="minorBidi" w:hAnsiTheme="minorBidi" w:hint="cs"/>
          <w:sz w:val="24"/>
          <w:szCs w:val="24"/>
          <w:rtl/>
        </w:rPr>
        <w:t xml:space="preserve"> כי המציאות היא שהוא נתן לראשונה שתי פרוטות ואז אמר "הרי את מקודשת לי ואת" </w:t>
      </w:r>
      <w:r w:rsidR="000F60F7">
        <w:rPr>
          <w:rFonts w:asciiTheme="minorBidi" w:hAnsiTheme="minorBidi" w:hint="cs"/>
          <w:sz w:val="24"/>
          <w:szCs w:val="24"/>
          <w:rtl/>
        </w:rPr>
        <w:t xml:space="preserve"> (ומינה את הראשונה להיות שליחה של </w:t>
      </w:r>
      <w:proofErr w:type="spellStart"/>
      <w:r w:rsidR="000F60F7">
        <w:rPr>
          <w:rFonts w:asciiTheme="minorBidi" w:hAnsiTheme="minorBidi" w:hint="cs"/>
          <w:sz w:val="24"/>
          <w:szCs w:val="24"/>
          <w:rtl/>
        </w:rPr>
        <w:t>השניה</w:t>
      </w:r>
      <w:proofErr w:type="spellEnd"/>
      <w:r w:rsidR="000F60F7">
        <w:rPr>
          <w:rFonts w:asciiTheme="minorBidi" w:hAnsiTheme="minorBidi" w:hint="cs"/>
          <w:sz w:val="24"/>
          <w:szCs w:val="24"/>
          <w:rtl/>
        </w:rPr>
        <w:t xml:space="preserve"> להתקדש) </w:t>
      </w:r>
      <w:r>
        <w:rPr>
          <w:rFonts w:asciiTheme="minorBidi" w:hAnsiTheme="minorBidi" w:hint="cs"/>
          <w:sz w:val="24"/>
          <w:szCs w:val="24"/>
          <w:rtl/>
        </w:rPr>
        <w:t xml:space="preserve"> אבל אם נתן </w:t>
      </w:r>
      <w:proofErr w:type="spellStart"/>
      <w:r>
        <w:rPr>
          <w:rFonts w:asciiTheme="minorBidi" w:hAnsiTheme="minorBidi" w:hint="cs"/>
          <w:sz w:val="24"/>
          <w:szCs w:val="24"/>
          <w:rtl/>
        </w:rPr>
        <w:t>לשניה</w:t>
      </w:r>
      <w:proofErr w:type="spellEnd"/>
      <w:r>
        <w:rPr>
          <w:rFonts w:asciiTheme="minorBidi" w:hAnsiTheme="minorBidi" w:hint="cs"/>
          <w:sz w:val="24"/>
          <w:szCs w:val="24"/>
          <w:rtl/>
        </w:rPr>
        <w:t xml:space="preserve"> פרוטה בפני עצמה ואמר "ואת" היא ודאי מקודשת ולא מספק. </w:t>
      </w:r>
    </w:p>
    <w:p w:rsidR="000F60F7" w:rsidRPr="000F60F7" w:rsidRDefault="000F60F7" w:rsidP="000F60F7">
      <w:pPr>
        <w:rPr>
          <w:rFonts w:asciiTheme="minorBidi" w:hAnsiTheme="minorBidi"/>
          <w:sz w:val="24"/>
          <w:szCs w:val="24"/>
          <w:rtl/>
        </w:rPr>
      </w:pPr>
      <w:proofErr w:type="spellStart"/>
      <w:r>
        <w:rPr>
          <w:rFonts w:asciiTheme="minorBidi" w:hAnsiTheme="minorBidi" w:hint="cs"/>
          <w:sz w:val="24"/>
          <w:szCs w:val="24"/>
          <w:rtl/>
        </w:rPr>
        <w:t>הרא"ש</w:t>
      </w:r>
      <w:proofErr w:type="spellEnd"/>
      <w:r>
        <w:rPr>
          <w:rFonts w:asciiTheme="minorBidi" w:hAnsiTheme="minorBidi" w:hint="cs"/>
          <w:sz w:val="24"/>
          <w:szCs w:val="24"/>
          <w:rtl/>
        </w:rPr>
        <w:t xml:space="preserve"> מסביר את התלבטות הגמרא. הרי קידושין דומים למקדיש חפץ לבית המקדש שהרי אסר את </w:t>
      </w:r>
      <w:proofErr w:type="spellStart"/>
      <w:r>
        <w:rPr>
          <w:rFonts w:asciiTheme="minorBidi" w:hAnsiTheme="minorBidi" w:hint="cs"/>
          <w:sz w:val="24"/>
          <w:szCs w:val="24"/>
          <w:rtl/>
        </w:rPr>
        <w:t>האשה</w:t>
      </w:r>
      <w:proofErr w:type="spellEnd"/>
      <w:r>
        <w:rPr>
          <w:rFonts w:asciiTheme="minorBidi" w:hAnsiTheme="minorBidi" w:hint="cs"/>
          <w:sz w:val="24"/>
          <w:szCs w:val="24"/>
          <w:rtl/>
        </w:rPr>
        <w:t xml:space="preserve"> על כל העולם כמו בהקדש שאסר את החפץ על כל העולם כי צריך להביאו לבית המקדש ואם כן כמו שבנדר הקדש יש יד כך גם בקידושין, או אולי התורה דיברה על נדרים בלבד (ונזירות נלמדת בהיקש מנדרים) אך אין להשליך מכך גם על קידושין. </w:t>
      </w:r>
    </w:p>
    <w:p w:rsidR="000F60F7" w:rsidRDefault="000B0849" w:rsidP="000F60F7">
      <w:pPr>
        <w:rPr>
          <w:rFonts w:asciiTheme="minorBidi" w:hAnsiTheme="minorBidi"/>
          <w:sz w:val="24"/>
          <w:szCs w:val="24"/>
          <w:rtl/>
        </w:rPr>
      </w:pPr>
      <w:r w:rsidRPr="000F60F7">
        <w:rPr>
          <w:rFonts w:asciiTheme="minorBidi" w:hAnsiTheme="minorBidi" w:hint="cs"/>
          <w:b/>
          <w:bCs/>
          <w:sz w:val="24"/>
          <w:szCs w:val="24"/>
          <w:rtl/>
        </w:rPr>
        <w:t xml:space="preserve"> </w:t>
      </w:r>
      <w:proofErr w:type="spellStart"/>
      <w:r w:rsidRPr="000F60F7">
        <w:rPr>
          <w:rFonts w:asciiTheme="minorBidi" w:hAnsiTheme="minorBidi" w:hint="cs"/>
          <w:b/>
          <w:bCs/>
          <w:sz w:val="24"/>
          <w:szCs w:val="24"/>
          <w:rtl/>
        </w:rPr>
        <w:t>הר"ן</w:t>
      </w:r>
      <w:proofErr w:type="spellEnd"/>
      <w:r>
        <w:rPr>
          <w:rFonts w:asciiTheme="minorBidi" w:hAnsiTheme="minorBidi" w:hint="cs"/>
          <w:sz w:val="24"/>
          <w:szCs w:val="24"/>
          <w:rtl/>
        </w:rPr>
        <w:t xml:space="preserve"> פוסק כי כיוון שמדובר בנושא דאורייתא (אשת איש) הרי </w:t>
      </w:r>
      <w:proofErr w:type="spellStart"/>
      <w:r>
        <w:rPr>
          <w:rFonts w:asciiTheme="minorBidi" w:hAnsiTheme="minorBidi" w:hint="cs"/>
          <w:sz w:val="24"/>
          <w:szCs w:val="24"/>
          <w:rtl/>
        </w:rPr>
        <w:t>שבעיא</w:t>
      </w:r>
      <w:proofErr w:type="spellEnd"/>
      <w:r>
        <w:rPr>
          <w:rFonts w:asciiTheme="minorBidi" w:hAnsiTheme="minorBidi" w:hint="cs"/>
          <w:sz w:val="24"/>
          <w:szCs w:val="24"/>
          <w:rtl/>
        </w:rPr>
        <w:t xml:space="preserve"> שנשארה בגמרא ללא פתרון מחמירים ולכן גם </w:t>
      </w:r>
      <w:proofErr w:type="spellStart"/>
      <w:r>
        <w:rPr>
          <w:rFonts w:asciiTheme="minorBidi" w:hAnsiTheme="minorBidi" w:hint="cs"/>
          <w:sz w:val="24"/>
          <w:szCs w:val="24"/>
          <w:rtl/>
        </w:rPr>
        <w:t>השניה</w:t>
      </w:r>
      <w:proofErr w:type="spellEnd"/>
      <w:r>
        <w:rPr>
          <w:rFonts w:asciiTheme="minorBidi" w:hAnsiTheme="minorBidi" w:hint="cs"/>
          <w:sz w:val="24"/>
          <w:szCs w:val="24"/>
          <w:rtl/>
        </w:rPr>
        <w:t xml:space="preserve"> ספק מקודשת . </w:t>
      </w:r>
    </w:p>
    <w:p w:rsidR="000F60F7" w:rsidRDefault="000F60F7" w:rsidP="000F60F7">
      <w:pPr>
        <w:rPr>
          <w:rFonts w:asciiTheme="minorBidi" w:hAnsiTheme="minorBidi"/>
          <w:sz w:val="24"/>
          <w:szCs w:val="24"/>
          <w:rtl/>
        </w:rPr>
      </w:pPr>
      <w:r>
        <w:rPr>
          <w:rFonts w:asciiTheme="minorBidi" w:hAnsiTheme="minorBidi" w:hint="cs"/>
          <w:sz w:val="24"/>
          <w:szCs w:val="24"/>
          <w:rtl/>
        </w:rPr>
        <w:t xml:space="preserve">את דעת  </w:t>
      </w:r>
      <w:r w:rsidRPr="00B65D8C">
        <w:rPr>
          <w:rFonts w:asciiTheme="minorBidi" w:hAnsiTheme="minorBidi" w:hint="cs"/>
          <w:b/>
          <w:bCs/>
          <w:sz w:val="24"/>
          <w:szCs w:val="24"/>
          <w:rtl/>
        </w:rPr>
        <w:t>הרמב"ם</w:t>
      </w:r>
      <w:r>
        <w:rPr>
          <w:rFonts w:asciiTheme="minorBidi" w:hAnsiTheme="minorBidi" w:hint="cs"/>
          <w:sz w:val="24"/>
          <w:szCs w:val="24"/>
          <w:rtl/>
        </w:rPr>
        <w:t xml:space="preserve"> (אישות, ב, ד)  הסביר </w:t>
      </w:r>
      <w:r w:rsidRPr="00B65D8C">
        <w:rPr>
          <w:rFonts w:asciiTheme="minorBidi" w:hAnsiTheme="minorBidi" w:hint="cs"/>
          <w:b/>
          <w:bCs/>
          <w:sz w:val="24"/>
          <w:szCs w:val="24"/>
          <w:rtl/>
        </w:rPr>
        <w:t xml:space="preserve">באבן </w:t>
      </w:r>
      <w:proofErr w:type="spellStart"/>
      <w:r w:rsidRPr="00B65D8C">
        <w:rPr>
          <w:rFonts w:asciiTheme="minorBidi" w:hAnsiTheme="minorBidi" w:hint="cs"/>
          <w:b/>
          <w:bCs/>
          <w:sz w:val="24"/>
          <w:szCs w:val="24"/>
          <w:rtl/>
        </w:rPr>
        <w:t>האזל</w:t>
      </w:r>
      <w:proofErr w:type="spellEnd"/>
      <w:r>
        <w:rPr>
          <w:rFonts w:asciiTheme="minorBidi" w:hAnsiTheme="minorBidi" w:hint="cs"/>
          <w:sz w:val="24"/>
          <w:szCs w:val="24"/>
          <w:rtl/>
        </w:rPr>
        <w:t>:</w:t>
      </w:r>
    </w:p>
    <w:p w:rsidR="000F60F7" w:rsidRDefault="00B65D8C" w:rsidP="00B65D8C">
      <w:pPr>
        <w:rPr>
          <w:rFonts w:asciiTheme="minorBidi" w:hAnsiTheme="minorBidi"/>
          <w:sz w:val="24"/>
          <w:szCs w:val="24"/>
          <w:rtl/>
        </w:rPr>
      </w:pPr>
      <w:r>
        <w:rPr>
          <w:rFonts w:asciiTheme="minorBidi" w:hAnsiTheme="minorBidi" w:hint="cs"/>
          <w:sz w:val="24"/>
          <w:szCs w:val="24"/>
          <w:rtl/>
        </w:rPr>
        <w:t xml:space="preserve">המקדש אמר </w:t>
      </w:r>
      <w:proofErr w:type="spellStart"/>
      <w:r>
        <w:rPr>
          <w:rFonts w:asciiTheme="minorBidi" w:hAnsiTheme="minorBidi" w:hint="cs"/>
          <w:sz w:val="24"/>
          <w:szCs w:val="24"/>
          <w:rtl/>
        </w:rPr>
        <w:t>לשניה</w:t>
      </w:r>
      <w:proofErr w:type="spellEnd"/>
      <w:r>
        <w:rPr>
          <w:rFonts w:asciiTheme="minorBidi" w:hAnsiTheme="minorBidi" w:hint="cs"/>
          <w:sz w:val="24"/>
          <w:szCs w:val="24"/>
          <w:rtl/>
        </w:rPr>
        <w:t xml:space="preserve"> בפירוש את המילים  "ואת חזאי"</w:t>
      </w:r>
      <w:r w:rsidR="00C303CE">
        <w:rPr>
          <w:rStyle w:val="a5"/>
          <w:rFonts w:asciiTheme="minorBidi" w:hAnsiTheme="minorBidi"/>
          <w:sz w:val="24"/>
          <w:szCs w:val="24"/>
          <w:rtl/>
        </w:rPr>
        <w:footnoteReference w:id="1"/>
      </w:r>
      <w:r>
        <w:rPr>
          <w:rFonts w:asciiTheme="minorBidi" w:hAnsiTheme="minorBidi" w:hint="cs"/>
          <w:sz w:val="24"/>
          <w:szCs w:val="24"/>
          <w:rtl/>
        </w:rPr>
        <w:t xml:space="preserve"> ובעצם התכוון לשאול האם תסכימי להתקדש לי (כלומר תסתכלי על קידושי הראשונה ותחליטי האם את מוכנה גם להתקדש) . אלא שכיוון שהדבר לא היה מוחלט שהרי לא ידע מה תהיה תשובתה , לכן פוסק הרמב"ם שזה ספק קידושין. </w:t>
      </w:r>
    </w:p>
    <w:p w:rsidR="00B65D8C" w:rsidRDefault="00B65D8C" w:rsidP="00C303CE">
      <w:pPr>
        <w:rPr>
          <w:rFonts w:asciiTheme="minorBidi" w:hAnsiTheme="minorBidi"/>
          <w:sz w:val="24"/>
          <w:szCs w:val="24"/>
          <w:rtl/>
        </w:rPr>
      </w:pPr>
      <w:r>
        <w:rPr>
          <w:rFonts w:asciiTheme="minorBidi" w:hAnsiTheme="minorBidi" w:hint="cs"/>
          <w:sz w:val="24"/>
          <w:szCs w:val="24"/>
          <w:rtl/>
        </w:rPr>
        <w:t xml:space="preserve">כלומר לפי ההסבר הזה לא היה לנו ספק מה הייתה כוונתו כמו שהבינו ראשונים אחרים (שלדעתם כיוון שאמר רק "ואת" אנו מסתפקים מה התכוון) , אלא כוונתו ברורה , הוא רצה לקדש גם </w:t>
      </w:r>
      <w:proofErr w:type="spellStart"/>
      <w:r>
        <w:rPr>
          <w:rFonts w:asciiTheme="minorBidi" w:hAnsiTheme="minorBidi" w:hint="cs"/>
          <w:sz w:val="24"/>
          <w:szCs w:val="24"/>
          <w:rtl/>
        </w:rPr>
        <w:t>השניה</w:t>
      </w:r>
      <w:proofErr w:type="spellEnd"/>
      <w:r>
        <w:rPr>
          <w:rFonts w:asciiTheme="minorBidi" w:hAnsiTheme="minorBidi" w:hint="cs"/>
          <w:sz w:val="24"/>
          <w:szCs w:val="24"/>
          <w:rtl/>
        </w:rPr>
        <w:t xml:space="preserve"> , אלא שמצבה הוא ספק מגורשת כי ברגע הקידושין היה ספק </w:t>
      </w:r>
      <w:r w:rsidR="00C303CE">
        <w:rPr>
          <w:rFonts w:asciiTheme="minorBidi" w:hAnsiTheme="minorBidi" w:hint="cs"/>
          <w:sz w:val="24"/>
          <w:szCs w:val="24"/>
          <w:rtl/>
        </w:rPr>
        <w:t xml:space="preserve">האם היא אכן מסכימה או לא . </w:t>
      </w:r>
    </w:p>
    <w:p w:rsidR="00C303CE" w:rsidRDefault="00C303CE" w:rsidP="00C303CE">
      <w:pPr>
        <w:rPr>
          <w:rFonts w:asciiTheme="minorBidi" w:hAnsiTheme="minorBidi"/>
          <w:sz w:val="24"/>
          <w:szCs w:val="24"/>
          <w:rtl/>
        </w:rPr>
      </w:pPr>
      <w:r>
        <w:rPr>
          <w:rFonts w:asciiTheme="minorBidi" w:hAnsiTheme="minorBidi" w:hint="cs"/>
          <w:sz w:val="24"/>
          <w:szCs w:val="24"/>
          <w:rtl/>
        </w:rPr>
        <w:t xml:space="preserve">ואת דברי הרמב"ם העתיק מרן  להלכה </w:t>
      </w:r>
      <w:r w:rsidRPr="00C303CE">
        <w:rPr>
          <w:rFonts w:asciiTheme="minorBidi" w:hAnsiTheme="minorBidi" w:hint="cs"/>
          <w:b/>
          <w:bCs/>
          <w:sz w:val="24"/>
          <w:szCs w:val="24"/>
          <w:rtl/>
        </w:rPr>
        <w:t>בשולחן ערוך</w:t>
      </w:r>
      <w:r>
        <w:rPr>
          <w:rFonts w:asciiTheme="minorBidi" w:hAnsiTheme="minorBidi" w:hint="cs"/>
          <w:sz w:val="24"/>
          <w:szCs w:val="24"/>
          <w:rtl/>
        </w:rPr>
        <w:t xml:space="preserve"> (אבן העזר , לו, ט). :</w:t>
      </w:r>
    </w:p>
    <w:p w:rsidR="00C303CE" w:rsidRDefault="00C303CE" w:rsidP="00C303CE">
      <w:pPr>
        <w:rPr>
          <w:rFonts w:asciiTheme="minorBidi" w:hAnsiTheme="minorBidi" w:cs="Arial"/>
          <w:sz w:val="24"/>
          <w:szCs w:val="24"/>
          <w:rtl/>
        </w:rPr>
      </w:pPr>
      <w:r>
        <w:rPr>
          <w:rFonts w:asciiTheme="minorBidi" w:hAnsiTheme="minorBidi" w:cs="Arial" w:hint="cs"/>
          <w:sz w:val="24"/>
          <w:szCs w:val="24"/>
          <w:rtl/>
        </w:rPr>
        <w:t>"</w:t>
      </w:r>
      <w:proofErr w:type="spellStart"/>
      <w:r w:rsidRPr="00C303CE">
        <w:rPr>
          <w:rFonts w:asciiTheme="minorBidi" w:hAnsiTheme="minorBidi" w:cs="Arial"/>
          <w:sz w:val="24"/>
          <w:szCs w:val="24"/>
          <w:rtl/>
        </w:rPr>
        <w:t>אשה</w:t>
      </w:r>
      <w:proofErr w:type="spellEnd"/>
      <w:r w:rsidRPr="00C303CE">
        <w:rPr>
          <w:rFonts w:asciiTheme="minorBidi" w:hAnsiTheme="minorBidi" w:cs="Arial"/>
          <w:sz w:val="24"/>
          <w:szCs w:val="24"/>
          <w:rtl/>
        </w:rPr>
        <w:t xml:space="preserve"> שהיא שליח לקבל קידושין לחברתה, וכשנתן </w:t>
      </w:r>
      <w:proofErr w:type="spellStart"/>
      <w:r w:rsidRPr="00C303CE">
        <w:rPr>
          <w:rFonts w:asciiTheme="minorBidi" w:hAnsiTheme="minorBidi" w:cs="Arial"/>
          <w:sz w:val="24"/>
          <w:szCs w:val="24"/>
          <w:rtl/>
        </w:rPr>
        <w:t>הקדושין</w:t>
      </w:r>
      <w:proofErr w:type="spellEnd"/>
      <w:r w:rsidRPr="00C303CE">
        <w:rPr>
          <w:rFonts w:asciiTheme="minorBidi" w:hAnsiTheme="minorBidi" w:cs="Arial"/>
          <w:sz w:val="24"/>
          <w:szCs w:val="24"/>
          <w:rtl/>
        </w:rPr>
        <w:t xml:space="preserve"> אמר לה: ואת </w:t>
      </w:r>
      <w:proofErr w:type="spellStart"/>
      <w:r w:rsidRPr="00C303CE">
        <w:rPr>
          <w:rFonts w:asciiTheme="minorBidi" w:hAnsiTheme="minorBidi" w:cs="Arial"/>
          <w:sz w:val="24"/>
          <w:szCs w:val="24"/>
          <w:rtl/>
        </w:rPr>
        <w:t>נמי</w:t>
      </w:r>
      <w:proofErr w:type="spellEnd"/>
      <w:r w:rsidRPr="00C303CE">
        <w:rPr>
          <w:rFonts w:asciiTheme="minorBidi" w:hAnsiTheme="minorBidi" w:cs="Arial"/>
          <w:sz w:val="24"/>
          <w:szCs w:val="24"/>
          <w:rtl/>
        </w:rPr>
        <w:t xml:space="preserve">, או וכן את, שתיהן מקודשות. אבל אם לא אמר לה אלא: ואת, הרי זו שקיבלה </w:t>
      </w:r>
      <w:proofErr w:type="spellStart"/>
      <w:r w:rsidRPr="00C303CE">
        <w:rPr>
          <w:rFonts w:asciiTheme="minorBidi" w:hAnsiTheme="minorBidi" w:cs="Arial"/>
          <w:sz w:val="24"/>
          <w:szCs w:val="24"/>
          <w:rtl/>
        </w:rPr>
        <w:t>הקדושין</w:t>
      </w:r>
      <w:proofErr w:type="spellEnd"/>
      <w:r w:rsidRPr="00C303CE">
        <w:rPr>
          <w:rFonts w:asciiTheme="minorBidi" w:hAnsiTheme="minorBidi" w:cs="Arial"/>
          <w:sz w:val="24"/>
          <w:szCs w:val="24"/>
          <w:rtl/>
        </w:rPr>
        <w:t xml:space="preserve"> ספק מקודשת, שמא לא </w:t>
      </w:r>
      <w:proofErr w:type="spellStart"/>
      <w:r w:rsidRPr="00C303CE">
        <w:rPr>
          <w:rFonts w:asciiTheme="minorBidi" w:hAnsiTheme="minorBidi" w:cs="Arial"/>
          <w:sz w:val="24"/>
          <w:szCs w:val="24"/>
          <w:rtl/>
        </w:rPr>
        <w:t>נתכוין</w:t>
      </w:r>
      <w:proofErr w:type="spellEnd"/>
      <w:r w:rsidRPr="00C303CE">
        <w:rPr>
          <w:rFonts w:asciiTheme="minorBidi" w:hAnsiTheme="minorBidi" w:cs="Arial"/>
          <w:sz w:val="24"/>
          <w:szCs w:val="24"/>
          <w:rtl/>
        </w:rPr>
        <w:t xml:space="preserve"> אלא לראות מה בלבה, וכאלו אמר לה: ואת מה תאמרי בדבר זה, ולפיכך קיבלה </w:t>
      </w:r>
      <w:proofErr w:type="spellStart"/>
      <w:r w:rsidRPr="00C303CE">
        <w:rPr>
          <w:rFonts w:asciiTheme="minorBidi" w:hAnsiTheme="minorBidi" w:cs="Arial"/>
          <w:sz w:val="24"/>
          <w:szCs w:val="24"/>
          <w:rtl/>
        </w:rPr>
        <w:t>הקדושין</w:t>
      </w:r>
      <w:proofErr w:type="spellEnd"/>
      <w:r w:rsidRPr="00C303CE">
        <w:rPr>
          <w:rFonts w:asciiTheme="minorBidi" w:hAnsiTheme="minorBidi" w:cs="Arial"/>
          <w:sz w:val="24"/>
          <w:szCs w:val="24"/>
          <w:rtl/>
        </w:rPr>
        <w:t xml:space="preserve"> היא, שה</w:t>
      </w:r>
      <w:r>
        <w:rPr>
          <w:rFonts w:asciiTheme="minorBidi" w:hAnsiTheme="minorBidi" w:cs="Arial"/>
          <w:sz w:val="24"/>
          <w:szCs w:val="24"/>
          <w:rtl/>
        </w:rPr>
        <w:t>רי זה עדיין שואלה לראות מה בלבה</w:t>
      </w:r>
      <w:r>
        <w:rPr>
          <w:rFonts w:asciiTheme="minorBidi" w:hAnsiTheme="minorBidi" w:cs="Arial" w:hint="cs"/>
          <w:sz w:val="24"/>
          <w:szCs w:val="24"/>
          <w:rtl/>
        </w:rPr>
        <w:t>"</w:t>
      </w:r>
    </w:p>
    <w:p w:rsidR="00C303CE" w:rsidRDefault="00C303CE" w:rsidP="00C303CE">
      <w:pPr>
        <w:rPr>
          <w:rFonts w:asciiTheme="minorBidi" w:hAnsiTheme="minorBidi" w:cs="Arial"/>
          <w:sz w:val="24"/>
          <w:szCs w:val="24"/>
          <w:rtl/>
        </w:rPr>
      </w:pPr>
      <w:r w:rsidRPr="00C303CE">
        <w:rPr>
          <w:rFonts w:asciiTheme="minorBidi" w:hAnsiTheme="minorBidi" w:cs="Arial" w:hint="cs"/>
          <w:b/>
          <w:bCs/>
          <w:sz w:val="24"/>
          <w:szCs w:val="24"/>
          <w:rtl/>
        </w:rPr>
        <w:lastRenderedPageBreak/>
        <w:t>החלקת מחוקק</w:t>
      </w:r>
      <w:r>
        <w:rPr>
          <w:rFonts w:asciiTheme="minorBidi" w:hAnsiTheme="minorBidi" w:cs="Arial" w:hint="cs"/>
          <w:sz w:val="24"/>
          <w:szCs w:val="24"/>
          <w:rtl/>
        </w:rPr>
        <w:t xml:space="preserve"> מחדד את פסק הרמב"ם- השולחן ערוך. הרי כאשר נתן ביד הראשונה שתי פרוטות </w:t>
      </w:r>
      <w:r>
        <w:rPr>
          <w:rStyle w:val="a5"/>
          <w:rFonts w:asciiTheme="minorBidi" w:hAnsiTheme="minorBidi" w:cs="Arial"/>
          <w:sz w:val="24"/>
          <w:szCs w:val="24"/>
          <w:rtl/>
        </w:rPr>
        <w:footnoteReference w:id="2"/>
      </w:r>
      <w:r>
        <w:rPr>
          <w:rFonts w:asciiTheme="minorBidi" w:hAnsiTheme="minorBidi" w:cs="Arial" w:hint="cs"/>
          <w:sz w:val="24"/>
          <w:szCs w:val="24"/>
          <w:rtl/>
        </w:rPr>
        <w:t xml:space="preserve">ואמר לאחת שהיא מקודשת </w:t>
      </w:r>
      <w:proofErr w:type="spellStart"/>
      <w:r>
        <w:rPr>
          <w:rFonts w:asciiTheme="minorBidi" w:hAnsiTheme="minorBidi" w:cs="Arial" w:hint="cs"/>
          <w:sz w:val="24"/>
          <w:szCs w:val="24"/>
          <w:rtl/>
        </w:rPr>
        <w:t>ולשניה</w:t>
      </w:r>
      <w:proofErr w:type="spellEnd"/>
      <w:r>
        <w:rPr>
          <w:rFonts w:asciiTheme="minorBidi" w:hAnsiTheme="minorBidi" w:cs="Arial" w:hint="cs"/>
          <w:sz w:val="24"/>
          <w:szCs w:val="24"/>
          <w:rtl/>
        </w:rPr>
        <w:t xml:space="preserve"> "ואת"  כלומר רוצה אני לדעת מה דעתך להתקדש לי בפרוטה </w:t>
      </w:r>
      <w:proofErr w:type="spellStart"/>
      <w:r>
        <w:rPr>
          <w:rFonts w:asciiTheme="minorBidi" w:hAnsiTheme="minorBidi" w:cs="Arial" w:hint="cs"/>
          <w:sz w:val="24"/>
          <w:szCs w:val="24"/>
          <w:rtl/>
        </w:rPr>
        <w:t>השניה</w:t>
      </w:r>
      <w:proofErr w:type="spellEnd"/>
      <w:r>
        <w:rPr>
          <w:rFonts w:asciiTheme="minorBidi" w:hAnsiTheme="minorBidi" w:cs="Arial" w:hint="cs"/>
          <w:sz w:val="24"/>
          <w:szCs w:val="24"/>
          <w:rtl/>
        </w:rPr>
        <w:t xml:space="preserve"> שנתתי לחברתך, </w:t>
      </w:r>
      <w:proofErr w:type="spellStart"/>
      <w:r>
        <w:rPr>
          <w:rFonts w:asciiTheme="minorBidi" w:hAnsiTheme="minorBidi" w:cs="Arial" w:hint="cs"/>
          <w:sz w:val="24"/>
          <w:szCs w:val="24"/>
          <w:rtl/>
        </w:rPr>
        <w:t>השניה</w:t>
      </w:r>
      <w:proofErr w:type="spellEnd"/>
      <w:r>
        <w:rPr>
          <w:rFonts w:asciiTheme="minorBidi" w:hAnsiTheme="minorBidi" w:cs="Arial" w:hint="cs"/>
          <w:sz w:val="24"/>
          <w:szCs w:val="24"/>
          <w:rtl/>
        </w:rPr>
        <w:t xml:space="preserve"> עדיין בעצמה לא יודעת מה התשובה לשאלתו , ולכן אינה מקודשת ממש כי לא הסכימה </w:t>
      </w:r>
      <w:proofErr w:type="spellStart"/>
      <w:r>
        <w:rPr>
          <w:rFonts w:asciiTheme="minorBidi" w:hAnsiTheme="minorBidi" w:cs="Arial" w:hint="cs"/>
          <w:sz w:val="24"/>
          <w:szCs w:val="24"/>
          <w:rtl/>
        </w:rPr>
        <w:t>מייד</w:t>
      </w:r>
      <w:proofErr w:type="spellEnd"/>
      <w:r>
        <w:rPr>
          <w:rFonts w:asciiTheme="minorBidi" w:hAnsiTheme="minorBidi" w:cs="Arial" w:hint="cs"/>
          <w:sz w:val="24"/>
          <w:szCs w:val="24"/>
          <w:rtl/>
        </w:rPr>
        <w:t xml:space="preserve">. </w:t>
      </w:r>
    </w:p>
    <w:p w:rsidR="00C303CE" w:rsidRDefault="00C303CE" w:rsidP="00C303CE">
      <w:pPr>
        <w:rPr>
          <w:rFonts w:asciiTheme="minorBidi" w:hAnsiTheme="minorBidi" w:cs="Arial"/>
          <w:b/>
          <w:bCs/>
          <w:sz w:val="32"/>
          <w:szCs w:val="32"/>
          <w:rtl/>
        </w:rPr>
      </w:pPr>
      <w:r>
        <w:rPr>
          <w:rFonts w:asciiTheme="minorBidi" w:hAnsiTheme="minorBidi" w:cs="Arial" w:hint="cs"/>
          <w:sz w:val="24"/>
          <w:szCs w:val="24"/>
          <w:rtl/>
        </w:rPr>
        <w:t xml:space="preserve">                                   </w:t>
      </w:r>
      <w:r>
        <w:rPr>
          <w:rFonts w:asciiTheme="minorBidi" w:hAnsiTheme="minorBidi" w:cs="Arial" w:hint="cs"/>
          <w:b/>
          <w:bCs/>
          <w:sz w:val="24"/>
          <w:szCs w:val="24"/>
          <w:rtl/>
        </w:rPr>
        <w:t xml:space="preserve">ב. </w:t>
      </w:r>
      <w:r>
        <w:rPr>
          <w:rFonts w:asciiTheme="minorBidi" w:hAnsiTheme="minorBidi" w:cs="Arial" w:hint="cs"/>
          <w:sz w:val="24"/>
          <w:szCs w:val="24"/>
          <w:rtl/>
        </w:rPr>
        <w:t xml:space="preserve">  </w:t>
      </w:r>
      <w:r>
        <w:rPr>
          <w:rFonts w:asciiTheme="minorBidi" w:hAnsiTheme="minorBidi" w:cs="Arial" w:hint="cs"/>
          <w:b/>
          <w:bCs/>
          <w:sz w:val="32"/>
          <w:szCs w:val="32"/>
          <w:rtl/>
        </w:rPr>
        <w:t xml:space="preserve">יד לפאה </w:t>
      </w:r>
    </w:p>
    <w:p w:rsidR="00C303CE" w:rsidRDefault="00C303CE" w:rsidP="00C303CE">
      <w:pPr>
        <w:rPr>
          <w:rFonts w:asciiTheme="minorBidi" w:hAnsiTheme="minorBidi" w:cs="Arial"/>
          <w:sz w:val="24"/>
          <w:szCs w:val="24"/>
          <w:rtl/>
        </w:rPr>
      </w:pPr>
      <w:r w:rsidRPr="00AD4A09">
        <w:rPr>
          <w:rFonts w:asciiTheme="minorBidi" w:hAnsiTheme="minorBidi" w:cs="Arial" w:hint="cs"/>
          <w:b/>
          <w:bCs/>
          <w:sz w:val="24"/>
          <w:szCs w:val="24"/>
          <w:u w:val="single"/>
          <w:rtl/>
        </w:rPr>
        <w:t>המקרה:</w:t>
      </w:r>
      <w:r>
        <w:rPr>
          <w:rFonts w:asciiTheme="minorBidi" w:hAnsiTheme="minorBidi" w:cs="Arial" w:hint="cs"/>
          <w:sz w:val="24"/>
          <w:szCs w:val="24"/>
          <w:rtl/>
        </w:rPr>
        <w:t xml:space="preserve"> אדם אמר "הערוגה הזו תהיה פאה וזו". האם לומדים דיני פאה מדיני קורבנות וכמו שבקורבנות יש יד גם בפאה הערוגה </w:t>
      </w:r>
      <w:proofErr w:type="spellStart"/>
      <w:r>
        <w:rPr>
          <w:rFonts w:asciiTheme="minorBidi" w:hAnsiTheme="minorBidi" w:cs="Arial" w:hint="cs"/>
          <w:sz w:val="24"/>
          <w:szCs w:val="24"/>
          <w:rtl/>
        </w:rPr>
        <w:t>השניה</w:t>
      </w:r>
      <w:proofErr w:type="spellEnd"/>
      <w:r>
        <w:rPr>
          <w:rFonts w:asciiTheme="minorBidi" w:hAnsiTheme="minorBidi" w:cs="Arial" w:hint="cs"/>
          <w:sz w:val="24"/>
          <w:szCs w:val="24"/>
          <w:rtl/>
        </w:rPr>
        <w:t xml:space="preserve"> היא פאה או אולי </w:t>
      </w:r>
      <w:proofErr w:type="spellStart"/>
      <w:r>
        <w:rPr>
          <w:rFonts w:asciiTheme="minorBidi" w:hAnsiTheme="minorBidi" w:cs="Arial" w:hint="cs"/>
          <w:sz w:val="24"/>
          <w:szCs w:val="24"/>
          <w:rtl/>
        </w:rPr>
        <w:t>ההקש</w:t>
      </w:r>
      <w:proofErr w:type="spellEnd"/>
      <w:r>
        <w:rPr>
          <w:rFonts w:asciiTheme="minorBidi" w:hAnsiTheme="minorBidi" w:cs="Arial" w:hint="cs"/>
          <w:sz w:val="24"/>
          <w:szCs w:val="24"/>
          <w:rtl/>
        </w:rPr>
        <w:t xml:space="preserve"> בין קורבנות לפאה הוא רק לעניין בל תאחר (שהוא הנושא בו עוסק הפסוק שמקיש פאה לנדר קורבן) ולא לעניין אחר?</w:t>
      </w:r>
      <w:r w:rsidR="00156822">
        <w:rPr>
          <w:rFonts w:asciiTheme="minorBidi" w:hAnsiTheme="minorBidi" w:cs="Arial" w:hint="cs"/>
          <w:sz w:val="24"/>
          <w:szCs w:val="24"/>
          <w:rtl/>
        </w:rPr>
        <w:t xml:space="preserve"> </w:t>
      </w:r>
    </w:p>
    <w:p w:rsidR="00C303CE" w:rsidRDefault="00156822" w:rsidP="00C303CE">
      <w:pPr>
        <w:rPr>
          <w:rFonts w:asciiTheme="minorBidi" w:hAnsiTheme="minorBidi" w:cs="Arial"/>
          <w:sz w:val="24"/>
          <w:szCs w:val="24"/>
          <w:rtl/>
        </w:rPr>
      </w:pPr>
      <w:proofErr w:type="spellStart"/>
      <w:r>
        <w:rPr>
          <w:rFonts w:asciiTheme="minorBidi" w:hAnsiTheme="minorBidi" w:cs="Arial" w:hint="cs"/>
          <w:b/>
          <w:bCs/>
          <w:sz w:val="24"/>
          <w:szCs w:val="24"/>
          <w:rtl/>
        </w:rPr>
        <w:t>הרשב"א</w:t>
      </w:r>
      <w:proofErr w:type="spellEnd"/>
      <w:r w:rsidR="00B64CB2">
        <w:rPr>
          <w:rFonts w:asciiTheme="minorBidi" w:hAnsiTheme="minorBidi" w:cs="Arial" w:hint="cs"/>
          <w:b/>
          <w:bCs/>
          <w:sz w:val="24"/>
          <w:szCs w:val="24"/>
          <w:rtl/>
        </w:rPr>
        <w:t xml:space="preserve"> והרמב"ן</w:t>
      </w:r>
      <w:r>
        <w:rPr>
          <w:rFonts w:asciiTheme="minorBidi" w:hAnsiTheme="minorBidi" w:cs="Arial" w:hint="cs"/>
          <w:b/>
          <w:bCs/>
          <w:sz w:val="24"/>
          <w:szCs w:val="24"/>
          <w:rtl/>
        </w:rPr>
        <w:t xml:space="preserve"> </w:t>
      </w:r>
      <w:r>
        <w:rPr>
          <w:rFonts w:asciiTheme="minorBidi" w:hAnsiTheme="minorBidi" w:cs="Arial" w:hint="cs"/>
          <w:sz w:val="24"/>
          <w:szCs w:val="24"/>
          <w:rtl/>
        </w:rPr>
        <w:t>פוסק</w:t>
      </w:r>
      <w:r w:rsidR="00B64CB2">
        <w:rPr>
          <w:rFonts w:asciiTheme="minorBidi" w:hAnsiTheme="minorBidi" w:cs="Arial" w:hint="cs"/>
          <w:sz w:val="24"/>
          <w:szCs w:val="24"/>
          <w:rtl/>
        </w:rPr>
        <w:t>ים</w:t>
      </w:r>
      <w:r>
        <w:rPr>
          <w:rFonts w:asciiTheme="minorBidi" w:hAnsiTheme="minorBidi" w:cs="Arial" w:hint="cs"/>
          <w:sz w:val="24"/>
          <w:szCs w:val="24"/>
          <w:rtl/>
        </w:rPr>
        <w:t xml:space="preserve"> כי פאה זו מצווה דאורייתא ולכן מכריעים את הספק הזה </w:t>
      </w:r>
      <w:proofErr w:type="spellStart"/>
      <w:r>
        <w:rPr>
          <w:rFonts w:asciiTheme="minorBidi" w:hAnsiTheme="minorBidi" w:cs="Arial" w:hint="cs"/>
          <w:sz w:val="24"/>
          <w:szCs w:val="24"/>
          <w:rtl/>
        </w:rPr>
        <w:t>לחומרא</w:t>
      </w:r>
      <w:proofErr w:type="spellEnd"/>
      <w:r>
        <w:rPr>
          <w:rFonts w:asciiTheme="minorBidi" w:hAnsiTheme="minorBidi" w:cs="Arial" w:hint="cs"/>
          <w:sz w:val="24"/>
          <w:szCs w:val="24"/>
          <w:rtl/>
        </w:rPr>
        <w:t xml:space="preserve">. </w:t>
      </w:r>
      <w:proofErr w:type="spellStart"/>
      <w:r>
        <w:rPr>
          <w:rFonts w:asciiTheme="minorBidi" w:hAnsiTheme="minorBidi" w:cs="Arial" w:hint="cs"/>
          <w:b/>
          <w:bCs/>
          <w:sz w:val="24"/>
          <w:szCs w:val="24"/>
          <w:rtl/>
        </w:rPr>
        <w:t>הר"ן</w:t>
      </w:r>
      <w:proofErr w:type="spellEnd"/>
      <w:r>
        <w:rPr>
          <w:rFonts w:asciiTheme="minorBidi" w:hAnsiTheme="minorBidi" w:cs="Arial" w:hint="cs"/>
          <w:b/>
          <w:bCs/>
          <w:sz w:val="24"/>
          <w:szCs w:val="24"/>
          <w:rtl/>
        </w:rPr>
        <w:t xml:space="preserve"> </w:t>
      </w:r>
      <w:r>
        <w:rPr>
          <w:rFonts w:asciiTheme="minorBidi" w:hAnsiTheme="minorBidi" w:cs="Arial" w:hint="cs"/>
          <w:sz w:val="24"/>
          <w:szCs w:val="24"/>
          <w:rtl/>
        </w:rPr>
        <w:t xml:space="preserve">חולק ומוכיח מכמה מקורות כי בספק ממון עניים מקילים ולכן הוא מכריע גם כאן שהערוגה </w:t>
      </w:r>
      <w:proofErr w:type="spellStart"/>
      <w:r>
        <w:rPr>
          <w:rFonts w:asciiTheme="minorBidi" w:hAnsiTheme="minorBidi" w:cs="Arial" w:hint="cs"/>
          <w:sz w:val="24"/>
          <w:szCs w:val="24"/>
          <w:rtl/>
        </w:rPr>
        <w:t>השניה</w:t>
      </w:r>
      <w:proofErr w:type="spellEnd"/>
      <w:r>
        <w:rPr>
          <w:rFonts w:asciiTheme="minorBidi" w:hAnsiTheme="minorBidi" w:cs="Arial" w:hint="cs"/>
          <w:sz w:val="24"/>
          <w:szCs w:val="24"/>
          <w:rtl/>
        </w:rPr>
        <w:t xml:space="preserve"> אינה פאה בכלל. </w:t>
      </w:r>
    </w:p>
    <w:p w:rsidR="00156822" w:rsidRDefault="00156822" w:rsidP="00C303CE">
      <w:pPr>
        <w:rPr>
          <w:rFonts w:asciiTheme="minorBidi" w:hAnsiTheme="minorBidi" w:cs="Arial"/>
          <w:sz w:val="24"/>
          <w:szCs w:val="24"/>
          <w:rtl/>
        </w:rPr>
      </w:pPr>
      <w:r>
        <w:rPr>
          <w:rFonts w:asciiTheme="minorBidi" w:hAnsiTheme="minorBidi" w:cs="Arial" w:hint="cs"/>
          <w:b/>
          <w:bCs/>
          <w:sz w:val="24"/>
          <w:szCs w:val="24"/>
          <w:rtl/>
        </w:rPr>
        <w:t xml:space="preserve">הרמב"ם </w:t>
      </w:r>
      <w:r w:rsidRPr="00156822">
        <w:rPr>
          <w:rFonts w:asciiTheme="minorBidi" w:hAnsiTheme="minorBidi" w:cs="Arial" w:hint="cs"/>
          <w:sz w:val="24"/>
          <w:szCs w:val="24"/>
          <w:rtl/>
        </w:rPr>
        <w:t xml:space="preserve">(מתנות עניים ב, </w:t>
      </w:r>
      <w:proofErr w:type="spellStart"/>
      <w:r w:rsidRPr="00156822">
        <w:rPr>
          <w:rFonts w:asciiTheme="minorBidi" w:hAnsiTheme="minorBidi" w:cs="Arial" w:hint="cs"/>
          <w:sz w:val="24"/>
          <w:szCs w:val="24"/>
          <w:rtl/>
        </w:rPr>
        <w:t>יג</w:t>
      </w:r>
      <w:proofErr w:type="spellEnd"/>
      <w:r w:rsidRPr="00156822">
        <w:rPr>
          <w:rFonts w:asciiTheme="minorBidi" w:hAnsiTheme="minorBidi" w:cs="Arial" w:hint="cs"/>
          <w:sz w:val="24"/>
          <w:szCs w:val="24"/>
          <w:rtl/>
        </w:rPr>
        <w:t>)</w:t>
      </w:r>
      <w:r>
        <w:rPr>
          <w:rFonts w:asciiTheme="minorBidi" w:hAnsiTheme="minorBidi" w:cs="Arial" w:hint="cs"/>
          <w:sz w:val="24"/>
          <w:szCs w:val="24"/>
          <w:rtl/>
        </w:rPr>
        <w:t xml:space="preserve"> פסק להחמיר </w:t>
      </w:r>
      <w:r w:rsidR="00B64CB2">
        <w:rPr>
          <w:rFonts w:asciiTheme="minorBidi" w:hAnsiTheme="minorBidi" w:cs="Arial" w:hint="cs"/>
          <w:sz w:val="24"/>
          <w:szCs w:val="24"/>
          <w:rtl/>
        </w:rPr>
        <w:t xml:space="preserve">ושתי הערוגות פאה. </w:t>
      </w:r>
      <w:proofErr w:type="spellStart"/>
      <w:r w:rsidR="00B64CB2">
        <w:rPr>
          <w:rFonts w:asciiTheme="minorBidi" w:hAnsiTheme="minorBidi" w:cs="Arial" w:hint="cs"/>
          <w:b/>
          <w:bCs/>
          <w:sz w:val="24"/>
          <w:szCs w:val="24"/>
          <w:rtl/>
        </w:rPr>
        <w:t>הרדב"ז</w:t>
      </w:r>
      <w:proofErr w:type="spellEnd"/>
      <w:r w:rsidR="00B64CB2">
        <w:rPr>
          <w:rFonts w:asciiTheme="minorBidi" w:hAnsiTheme="minorBidi" w:cs="Arial" w:hint="cs"/>
          <w:b/>
          <w:bCs/>
          <w:sz w:val="24"/>
          <w:szCs w:val="24"/>
          <w:rtl/>
        </w:rPr>
        <w:t xml:space="preserve"> </w:t>
      </w:r>
      <w:r w:rsidR="00B64CB2">
        <w:rPr>
          <w:rFonts w:asciiTheme="minorBidi" w:hAnsiTheme="minorBidi" w:cs="Arial" w:hint="cs"/>
          <w:sz w:val="24"/>
          <w:szCs w:val="24"/>
          <w:rtl/>
        </w:rPr>
        <w:t>מסביר כי טעמו של הרמב"ם הוא שמתנות עניים הרי הם הקדש (במקום לבית המקדש לעניים) וכמו שבהקדש אנו מחמירים במקרה של ידות , כך גם במתנות עניים.</w:t>
      </w:r>
    </w:p>
    <w:p w:rsidR="005A76C8" w:rsidRDefault="00800399" w:rsidP="005A76C8">
      <w:pPr>
        <w:rPr>
          <w:rFonts w:asciiTheme="minorBidi" w:hAnsiTheme="minorBidi" w:cs="Arial"/>
          <w:sz w:val="24"/>
          <w:szCs w:val="24"/>
          <w:rtl/>
        </w:rPr>
      </w:pPr>
      <w:proofErr w:type="spellStart"/>
      <w:r w:rsidRPr="00ED1767">
        <w:rPr>
          <w:rFonts w:asciiTheme="minorBidi" w:hAnsiTheme="minorBidi" w:cs="Arial" w:hint="cs"/>
          <w:b/>
          <w:bCs/>
          <w:sz w:val="24"/>
          <w:szCs w:val="24"/>
          <w:rtl/>
        </w:rPr>
        <w:t>החיד"א</w:t>
      </w:r>
      <w:proofErr w:type="spellEnd"/>
      <w:r>
        <w:rPr>
          <w:rFonts w:asciiTheme="minorBidi" w:hAnsiTheme="minorBidi" w:cs="Arial" w:hint="cs"/>
          <w:sz w:val="24"/>
          <w:szCs w:val="24"/>
          <w:rtl/>
        </w:rPr>
        <w:t xml:space="preserve"> (ברכי יוסף, יו"ד, </w:t>
      </w:r>
      <w:proofErr w:type="spellStart"/>
      <w:r>
        <w:rPr>
          <w:rFonts w:asciiTheme="minorBidi" w:hAnsiTheme="minorBidi" w:cs="Arial" w:hint="cs"/>
          <w:sz w:val="24"/>
          <w:szCs w:val="24"/>
          <w:rtl/>
        </w:rPr>
        <w:t>רנח</w:t>
      </w:r>
      <w:proofErr w:type="spellEnd"/>
      <w:r>
        <w:rPr>
          <w:rFonts w:asciiTheme="minorBidi" w:hAnsiTheme="minorBidi" w:cs="Arial" w:hint="cs"/>
          <w:sz w:val="24"/>
          <w:szCs w:val="24"/>
          <w:rtl/>
        </w:rPr>
        <w:t xml:space="preserve"> , ג) מביא את דברי </w:t>
      </w:r>
      <w:r w:rsidRPr="00ED1767">
        <w:rPr>
          <w:rFonts w:asciiTheme="minorBidi" w:hAnsiTheme="minorBidi" w:cs="Arial" w:hint="cs"/>
          <w:b/>
          <w:bCs/>
          <w:sz w:val="24"/>
          <w:szCs w:val="24"/>
          <w:rtl/>
        </w:rPr>
        <w:t xml:space="preserve">רבי חיים </w:t>
      </w:r>
      <w:proofErr w:type="spellStart"/>
      <w:r w:rsidRPr="00ED1767">
        <w:rPr>
          <w:rFonts w:asciiTheme="minorBidi" w:hAnsiTheme="minorBidi" w:cs="Arial" w:hint="cs"/>
          <w:b/>
          <w:bCs/>
          <w:sz w:val="24"/>
          <w:szCs w:val="24"/>
          <w:rtl/>
        </w:rPr>
        <w:t>אלפנדרי</w:t>
      </w:r>
      <w:proofErr w:type="spellEnd"/>
      <w:r>
        <w:rPr>
          <w:rFonts w:asciiTheme="minorBidi" w:hAnsiTheme="minorBidi" w:cs="Arial" w:hint="cs"/>
          <w:sz w:val="24"/>
          <w:szCs w:val="24"/>
          <w:rtl/>
        </w:rPr>
        <w:t xml:space="preserve"> המחלק בין ספק ממון עניים שנוצר באופן טבעי שאז אכן פסוקים </w:t>
      </w:r>
      <w:proofErr w:type="spellStart"/>
      <w:r>
        <w:rPr>
          <w:rFonts w:asciiTheme="minorBidi" w:hAnsiTheme="minorBidi" w:cs="Arial" w:hint="cs"/>
          <w:sz w:val="24"/>
          <w:szCs w:val="24"/>
          <w:rtl/>
        </w:rPr>
        <w:t>לקולא</w:t>
      </w:r>
      <w:proofErr w:type="spellEnd"/>
      <w:r>
        <w:rPr>
          <w:rFonts w:asciiTheme="minorBidi" w:hAnsiTheme="minorBidi" w:cs="Arial" w:hint="cs"/>
          <w:sz w:val="24"/>
          <w:szCs w:val="24"/>
          <w:rtl/>
        </w:rPr>
        <w:t xml:space="preserve"> , לבין ספק ממון עניים שנוצר עקב חוסר זהירות של האדם עצמו (כמו </w:t>
      </w:r>
      <w:proofErr w:type="spellStart"/>
      <w:r>
        <w:rPr>
          <w:rFonts w:asciiTheme="minorBidi" w:hAnsiTheme="minorBidi" w:cs="Arial" w:hint="cs"/>
          <w:sz w:val="24"/>
          <w:szCs w:val="24"/>
          <w:rtl/>
        </w:rPr>
        <w:t>שאצלינו</w:t>
      </w:r>
      <w:proofErr w:type="spellEnd"/>
      <w:r>
        <w:rPr>
          <w:rFonts w:asciiTheme="minorBidi" w:hAnsiTheme="minorBidi" w:cs="Arial" w:hint="cs"/>
          <w:sz w:val="24"/>
          <w:szCs w:val="24"/>
          <w:rtl/>
        </w:rPr>
        <w:t xml:space="preserve"> שהוא אמר דבר לא ברור ויצר את הספק) שאז </w:t>
      </w:r>
      <w:r w:rsidR="00ED1767">
        <w:rPr>
          <w:rFonts w:asciiTheme="minorBidi" w:hAnsiTheme="minorBidi" w:cs="Arial" w:hint="cs"/>
          <w:sz w:val="24"/>
          <w:szCs w:val="24"/>
          <w:rtl/>
        </w:rPr>
        <w:t xml:space="preserve">פוסקים הראשונים </w:t>
      </w:r>
      <w:proofErr w:type="spellStart"/>
      <w:r w:rsidR="00ED1767">
        <w:rPr>
          <w:rFonts w:asciiTheme="minorBidi" w:hAnsiTheme="minorBidi" w:cs="Arial" w:hint="cs"/>
          <w:sz w:val="24"/>
          <w:szCs w:val="24"/>
          <w:rtl/>
        </w:rPr>
        <w:t>לחומרא</w:t>
      </w:r>
      <w:proofErr w:type="spellEnd"/>
      <w:r w:rsidR="00ED1767">
        <w:rPr>
          <w:rFonts w:asciiTheme="minorBidi" w:hAnsiTheme="minorBidi" w:cs="Arial" w:hint="cs"/>
          <w:sz w:val="24"/>
          <w:szCs w:val="24"/>
          <w:rtl/>
        </w:rPr>
        <w:t xml:space="preserve"> . מרן </w:t>
      </w:r>
      <w:proofErr w:type="spellStart"/>
      <w:r w:rsidR="00ED1767">
        <w:rPr>
          <w:rFonts w:asciiTheme="minorBidi" w:hAnsiTheme="minorBidi" w:cs="Arial" w:hint="cs"/>
          <w:sz w:val="24"/>
          <w:szCs w:val="24"/>
          <w:rtl/>
        </w:rPr>
        <w:t>החיד"א</w:t>
      </w:r>
      <w:proofErr w:type="spellEnd"/>
      <w:r w:rsidR="00ED1767">
        <w:rPr>
          <w:rFonts w:asciiTheme="minorBidi" w:hAnsiTheme="minorBidi" w:cs="Arial" w:hint="cs"/>
          <w:sz w:val="24"/>
          <w:szCs w:val="24"/>
          <w:rtl/>
        </w:rPr>
        <w:t xml:space="preserve"> אינו מקבל אתה חילוק הזה מאחר שלגבי שכיב מרע שהקדיש נכסיו, מסיימת הגמרא בתיקו. ופסקו הרמב"ם וסייעתו כי אילולא הבעיה של ביטול הקדש היינו פוסקים </w:t>
      </w:r>
      <w:proofErr w:type="spellStart"/>
      <w:r w:rsidR="00ED1767">
        <w:rPr>
          <w:rFonts w:asciiTheme="minorBidi" w:hAnsiTheme="minorBidi" w:cs="Arial" w:hint="cs"/>
          <w:sz w:val="24"/>
          <w:szCs w:val="24"/>
          <w:rtl/>
        </w:rPr>
        <w:t>לקולא</w:t>
      </w:r>
      <w:proofErr w:type="spellEnd"/>
      <w:r w:rsidR="00ED1767">
        <w:rPr>
          <w:rFonts w:asciiTheme="minorBidi" w:hAnsiTheme="minorBidi" w:cs="Arial" w:hint="cs"/>
          <w:sz w:val="24"/>
          <w:szCs w:val="24"/>
          <w:rtl/>
        </w:rPr>
        <w:t xml:space="preserve"> . והרי גם במקרה הזה השכיב מרע יצר את הספק בפיו ולפי חילוקו של ר"ח </w:t>
      </w:r>
      <w:proofErr w:type="spellStart"/>
      <w:r w:rsidR="00ED1767">
        <w:rPr>
          <w:rFonts w:asciiTheme="minorBidi" w:hAnsiTheme="minorBidi" w:cs="Arial" w:hint="cs"/>
          <w:sz w:val="24"/>
          <w:szCs w:val="24"/>
          <w:rtl/>
        </w:rPr>
        <w:t>אלפנדרי</w:t>
      </w:r>
      <w:proofErr w:type="spellEnd"/>
      <w:r w:rsidR="00ED1767">
        <w:rPr>
          <w:rFonts w:asciiTheme="minorBidi" w:hAnsiTheme="minorBidi" w:cs="Arial" w:hint="cs"/>
          <w:sz w:val="24"/>
          <w:szCs w:val="24"/>
          <w:rtl/>
        </w:rPr>
        <w:t xml:space="preserve"> היו צריכים הרמב"ם </w:t>
      </w:r>
      <w:proofErr w:type="spellStart"/>
      <w:r w:rsidR="00ED1767">
        <w:rPr>
          <w:rFonts w:asciiTheme="minorBidi" w:hAnsiTheme="minorBidi" w:cs="Arial" w:hint="cs"/>
          <w:sz w:val="24"/>
          <w:szCs w:val="24"/>
          <w:rtl/>
        </w:rPr>
        <w:t>והרשב"א</w:t>
      </w:r>
      <w:proofErr w:type="spellEnd"/>
      <w:r w:rsidR="00ED1767">
        <w:rPr>
          <w:rFonts w:asciiTheme="minorBidi" w:hAnsiTheme="minorBidi" w:cs="Arial" w:hint="cs"/>
          <w:sz w:val="24"/>
          <w:szCs w:val="24"/>
          <w:rtl/>
        </w:rPr>
        <w:t xml:space="preserve"> לפסוק </w:t>
      </w:r>
      <w:proofErr w:type="spellStart"/>
      <w:r w:rsidR="00ED1767">
        <w:rPr>
          <w:rFonts w:asciiTheme="minorBidi" w:hAnsiTheme="minorBidi" w:cs="Arial" w:hint="cs"/>
          <w:sz w:val="24"/>
          <w:szCs w:val="24"/>
          <w:rtl/>
        </w:rPr>
        <w:t>לחומרא</w:t>
      </w:r>
      <w:proofErr w:type="spellEnd"/>
      <w:r w:rsidR="00ED1767">
        <w:rPr>
          <w:rFonts w:asciiTheme="minorBidi" w:hAnsiTheme="minorBidi" w:cs="Arial" w:hint="cs"/>
          <w:sz w:val="24"/>
          <w:szCs w:val="24"/>
          <w:rtl/>
        </w:rPr>
        <w:t xml:space="preserve">. </w:t>
      </w:r>
    </w:p>
    <w:p w:rsidR="00A5588A" w:rsidRDefault="00A5588A" w:rsidP="005A76C8">
      <w:pPr>
        <w:rPr>
          <w:rFonts w:asciiTheme="minorBidi" w:hAnsiTheme="minorBidi" w:cs="Arial"/>
          <w:b/>
          <w:bCs/>
          <w:sz w:val="24"/>
          <w:szCs w:val="24"/>
          <w:rtl/>
        </w:rPr>
      </w:pPr>
      <w:r>
        <w:rPr>
          <w:rFonts w:asciiTheme="minorBidi" w:hAnsiTheme="minorBidi" w:cs="Arial" w:hint="cs"/>
          <w:sz w:val="24"/>
          <w:szCs w:val="24"/>
          <w:rtl/>
        </w:rPr>
        <w:t xml:space="preserve">                                      </w:t>
      </w:r>
      <w:r>
        <w:rPr>
          <w:rFonts w:asciiTheme="minorBidi" w:hAnsiTheme="minorBidi" w:cs="Arial" w:hint="cs"/>
          <w:b/>
          <w:bCs/>
          <w:sz w:val="24"/>
          <w:szCs w:val="24"/>
          <w:rtl/>
        </w:rPr>
        <w:t>ג</w:t>
      </w:r>
      <w:r w:rsidRPr="00A5588A">
        <w:rPr>
          <w:rFonts w:asciiTheme="minorBidi" w:hAnsiTheme="minorBidi" w:cs="Arial" w:hint="cs"/>
          <w:b/>
          <w:bCs/>
          <w:sz w:val="32"/>
          <w:szCs w:val="32"/>
          <w:rtl/>
        </w:rPr>
        <w:t>. יד לצדקה</w:t>
      </w:r>
    </w:p>
    <w:p w:rsidR="00A5588A" w:rsidRDefault="00B52EEF" w:rsidP="005A76C8">
      <w:pPr>
        <w:rPr>
          <w:rFonts w:asciiTheme="minorBidi" w:hAnsiTheme="minorBidi" w:cs="Arial" w:hint="cs"/>
          <w:sz w:val="24"/>
          <w:szCs w:val="24"/>
          <w:rtl/>
        </w:rPr>
      </w:pPr>
      <w:r w:rsidRPr="00B52EEF">
        <w:rPr>
          <w:rFonts w:asciiTheme="minorBidi" w:hAnsiTheme="minorBidi" w:cs="Arial" w:hint="cs"/>
          <w:b/>
          <w:bCs/>
          <w:sz w:val="24"/>
          <w:szCs w:val="24"/>
          <w:u w:val="single"/>
          <w:rtl/>
        </w:rPr>
        <w:t>המקרה</w:t>
      </w:r>
      <w:r>
        <w:rPr>
          <w:rFonts w:asciiTheme="minorBidi" w:hAnsiTheme="minorBidi" w:cs="Arial" w:hint="cs"/>
          <w:b/>
          <w:bCs/>
          <w:sz w:val="24"/>
          <w:szCs w:val="24"/>
          <w:u w:val="single"/>
          <w:rtl/>
        </w:rPr>
        <w:t>:</w:t>
      </w:r>
      <w:r>
        <w:rPr>
          <w:rFonts w:asciiTheme="minorBidi" w:hAnsiTheme="minorBidi" w:cs="Arial" w:hint="cs"/>
          <w:sz w:val="24"/>
          <w:szCs w:val="24"/>
          <w:rtl/>
        </w:rPr>
        <w:t xml:space="preserve"> היו לפני האדם שני זוזים. הוא אמר "הזוז הזה לצדקה וזה" . האם כיוון שבאותו פסוק העוסק בקורבנות דורשים המילה "עמך" זו הצדקה הרי שצדקה דינה כקורבן ויש יד לצדקה כמו שיש יד לקורבן או שרק לעניין בו עוסק הפסוק הוקשה צדקה לקורבן (בל תאחר) ולא לעניינים אחרים.</w:t>
      </w:r>
    </w:p>
    <w:p w:rsidR="00B52EEF" w:rsidRDefault="00DC604C" w:rsidP="005A76C8">
      <w:pPr>
        <w:rPr>
          <w:rFonts w:asciiTheme="minorBidi" w:hAnsiTheme="minorBidi" w:cs="Arial"/>
          <w:sz w:val="24"/>
          <w:szCs w:val="24"/>
          <w:rtl/>
        </w:rPr>
      </w:pPr>
      <w:proofErr w:type="spellStart"/>
      <w:r>
        <w:rPr>
          <w:rFonts w:asciiTheme="minorBidi" w:hAnsiTheme="minorBidi" w:cs="Arial" w:hint="cs"/>
          <w:b/>
          <w:bCs/>
          <w:sz w:val="24"/>
          <w:szCs w:val="24"/>
          <w:rtl/>
        </w:rPr>
        <w:t>הרשב"א</w:t>
      </w:r>
      <w:proofErr w:type="spellEnd"/>
      <w:r>
        <w:rPr>
          <w:rFonts w:asciiTheme="minorBidi" w:hAnsiTheme="minorBidi" w:cs="Arial" w:hint="cs"/>
          <w:b/>
          <w:bCs/>
          <w:sz w:val="24"/>
          <w:szCs w:val="24"/>
          <w:rtl/>
        </w:rPr>
        <w:t xml:space="preserve">, הרמב"ן , </w:t>
      </w:r>
      <w:proofErr w:type="spellStart"/>
      <w:r>
        <w:rPr>
          <w:rFonts w:asciiTheme="minorBidi" w:hAnsiTheme="minorBidi" w:cs="Arial" w:hint="cs"/>
          <w:b/>
          <w:bCs/>
          <w:sz w:val="24"/>
          <w:szCs w:val="24"/>
          <w:rtl/>
        </w:rPr>
        <w:t>הרא"ש</w:t>
      </w:r>
      <w:proofErr w:type="spellEnd"/>
      <w:r>
        <w:rPr>
          <w:rFonts w:asciiTheme="minorBidi" w:hAnsiTheme="minorBidi" w:cs="Arial" w:hint="cs"/>
          <w:b/>
          <w:bCs/>
          <w:sz w:val="24"/>
          <w:szCs w:val="24"/>
          <w:rtl/>
        </w:rPr>
        <w:t xml:space="preserve"> ועוד ראשונים </w:t>
      </w:r>
      <w:r w:rsidR="00B52EEF">
        <w:rPr>
          <w:rFonts w:asciiTheme="minorBidi" w:hAnsiTheme="minorBidi" w:cs="Arial" w:hint="cs"/>
          <w:sz w:val="24"/>
          <w:szCs w:val="24"/>
          <w:rtl/>
        </w:rPr>
        <w:t xml:space="preserve">פסקו גם כאן </w:t>
      </w:r>
      <w:proofErr w:type="spellStart"/>
      <w:r w:rsidR="00B52EEF">
        <w:rPr>
          <w:rFonts w:asciiTheme="minorBidi" w:hAnsiTheme="minorBidi" w:cs="Arial" w:hint="cs"/>
          <w:sz w:val="24"/>
          <w:szCs w:val="24"/>
          <w:rtl/>
        </w:rPr>
        <w:t>לחומרא</w:t>
      </w:r>
      <w:proofErr w:type="spellEnd"/>
      <w:r w:rsidR="00B52EEF">
        <w:rPr>
          <w:rFonts w:asciiTheme="minorBidi" w:hAnsiTheme="minorBidi" w:cs="Arial" w:hint="cs"/>
          <w:sz w:val="24"/>
          <w:szCs w:val="24"/>
          <w:rtl/>
        </w:rPr>
        <w:t xml:space="preserve">. </w:t>
      </w:r>
      <w:proofErr w:type="spellStart"/>
      <w:r w:rsidR="00B52EEF">
        <w:rPr>
          <w:rFonts w:asciiTheme="minorBidi" w:hAnsiTheme="minorBidi" w:cs="Arial" w:hint="cs"/>
          <w:sz w:val="24"/>
          <w:szCs w:val="24"/>
          <w:rtl/>
        </w:rPr>
        <w:t>הר"ן</w:t>
      </w:r>
      <w:proofErr w:type="spellEnd"/>
      <w:r w:rsidR="00B52EEF">
        <w:rPr>
          <w:rFonts w:asciiTheme="minorBidi" w:hAnsiTheme="minorBidi" w:cs="Arial" w:hint="cs"/>
          <w:sz w:val="24"/>
          <w:szCs w:val="24"/>
          <w:rtl/>
        </w:rPr>
        <w:t xml:space="preserve"> הסביר כי יתכן שזה תואם את הכלל של הרמב"ם שפוסק בכל מקום כדעה שעליה נאמר "אם תמצא לומר" והרי בסעיף הבא בגמרא , תאמר הגמרא אם תמצא לומר שהוקשה צדקה לקורבן לכל ההלכות , אם כן הכריעה הגמרא שהזוז השני הוא צדקה. </w:t>
      </w:r>
    </w:p>
    <w:p w:rsidR="00DC604C" w:rsidRDefault="00DC604C" w:rsidP="003A7DCB">
      <w:pPr>
        <w:rPr>
          <w:rFonts w:asciiTheme="minorBidi" w:hAnsiTheme="minorBidi" w:cs="Arial"/>
          <w:sz w:val="24"/>
          <w:szCs w:val="24"/>
          <w:rtl/>
        </w:rPr>
      </w:pPr>
      <w:r>
        <w:rPr>
          <w:rFonts w:asciiTheme="minorBidi" w:hAnsiTheme="minorBidi" w:cs="Arial" w:hint="cs"/>
          <w:b/>
          <w:bCs/>
          <w:sz w:val="24"/>
          <w:szCs w:val="24"/>
          <w:rtl/>
        </w:rPr>
        <w:t xml:space="preserve">בדעת </w:t>
      </w:r>
      <w:proofErr w:type="spellStart"/>
      <w:r w:rsidR="00B52EEF" w:rsidRPr="00B52EEF">
        <w:rPr>
          <w:rFonts w:asciiTheme="minorBidi" w:hAnsiTheme="minorBidi" w:cs="Arial" w:hint="cs"/>
          <w:b/>
          <w:bCs/>
          <w:sz w:val="24"/>
          <w:szCs w:val="24"/>
          <w:rtl/>
        </w:rPr>
        <w:t>הר"ן</w:t>
      </w:r>
      <w:proofErr w:type="spellEnd"/>
      <w:r w:rsidR="00B52EEF">
        <w:rPr>
          <w:rFonts w:asciiTheme="minorBidi" w:hAnsiTheme="minorBidi" w:cs="Arial" w:hint="cs"/>
          <w:sz w:val="24"/>
          <w:szCs w:val="24"/>
          <w:rtl/>
        </w:rPr>
        <w:t xml:space="preserve"> </w:t>
      </w:r>
      <w:r>
        <w:rPr>
          <w:rFonts w:asciiTheme="minorBidi" w:hAnsiTheme="minorBidi" w:cs="Arial" w:hint="cs"/>
          <w:sz w:val="24"/>
          <w:szCs w:val="24"/>
          <w:rtl/>
        </w:rPr>
        <w:t>מצאנו מחלוקת.</w:t>
      </w:r>
      <w:r w:rsidR="00B52EEF">
        <w:rPr>
          <w:rFonts w:asciiTheme="minorBidi" w:hAnsiTheme="minorBidi" w:cs="Arial" w:hint="cs"/>
          <w:sz w:val="24"/>
          <w:szCs w:val="24"/>
          <w:rtl/>
        </w:rPr>
        <w:t xml:space="preserve"> </w:t>
      </w:r>
      <w:proofErr w:type="spellStart"/>
      <w:r>
        <w:rPr>
          <w:rFonts w:asciiTheme="minorBidi" w:hAnsiTheme="minorBidi" w:cs="Arial" w:hint="cs"/>
          <w:sz w:val="24"/>
          <w:szCs w:val="24"/>
          <w:rtl/>
        </w:rPr>
        <w:t>הר"ן</w:t>
      </w:r>
      <w:proofErr w:type="spellEnd"/>
      <w:r>
        <w:rPr>
          <w:rFonts w:asciiTheme="minorBidi" w:hAnsiTheme="minorBidi" w:cs="Arial" w:hint="cs"/>
          <w:sz w:val="24"/>
          <w:szCs w:val="24"/>
          <w:rtl/>
        </w:rPr>
        <w:t xml:space="preserve"> </w:t>
      </w:r>
      <w:r w:rsidR="00B52EEF">
        <w:rPr>
          <w:rFonts w:asciiTheme="minorBidi" w:hAnsiTheme="minorBidi" w:cs="Arial" w:hint="cs"/>
          <w:sz w:val="24"/>
          <w:szCs w:val="24"/>
          <w:rtl/>
        </w:rPr>
        <w:t>מקשה הרי מצאנו בכל מקום (והוא מביא כמה הוכחות</w:t>
      </w:r>
      <w:r>
        <w:rPr>
          <w:rFonts w:asciiTheme="minorBidi" w:hAnsiTheme="minorBidi" w:cs="Arial" w:hint="cs"/>
          <w:sz w:val="24"/>
          <w:szCs w:val="24"/>
          <w:rtl/>
        </w:rPr>
        <w:t xml:space="preserve">) שספק ממון עניים </w:t>
      </w:r>
      <w:proofErr w:type="spellStart"/>
      <w:r>
        <w:rPr>
          <w:rFonts w:asciiTheme="minorBidi" w:hAnsiTheme="minorBidi" w:cs="Arial" w:hint="cs"/>
          <w:sz w:val="24"/>
          <w:szCs w:val="24"/>
          <w:rtl/>
        </w:rPr>
        <w:t>לקולא</w:t>
      </w:r>
      <w:proofErr w:type="spellEnd"/>
      <w:r>
        <w:rPr>
          <w:rFonts w:asciiTheme="minorBidi" w:hAnsiTheme="minorBidi" w:cs="Arial" w:hint="cs"/>
          <w:sz w:val="24"/>
          <w:szCs w:val="24"/>
          <w:rtl/>
        </w:rPr>
        <w:t xml:space="preserve">. .שיטת </w:t>
      </w:r>
      <w:proofErr w:type="spellStart"/>
      <w:r w:rsidRPr="00DC604C">
        <w:rPr>
          <w:rFonts w:asciiTheme="minorBidi" w:hAnsiTheme="minorBidi" w:cs="Arial" w:hint="cs"/>
          <w:b/>
          <w:bCs/>
          <w:sz w:val="24"/>
          <w:szCs w:val="24"/>
          <w:rtl/>
        </w:rPr>
        <w:t>הרדב"ז</w:t>
      </w:r>
      <w:proofErr w:type="spellEnd"/>
      <w:r>
        <w:rPr>
          <w:rFonts w:asciiTheme="minorBidi" w:hAnsiTheme="minorBidi" w:cs="Arial" w:hint="cs"/>
          <w:sz w:val="24"/>
          <w:szCs w:val="24"/>
          <w:rtl/>
        </w:rPr>
        <w:t xml:space="preserve"> היא כי עקב קושיות הללו </w:t>
      </w:r>
      <w:proofErr w:type="spellStart"/>
      <w:r>
        <w:rPr>
          <w:rFonts w:asciiTheme="minorBidi" w:hAnsiTheme="minorBidi" w:cs="Arial" w:hint="cs"/>
          <w:sz w:val="24"/>
          <w:szCs w:val="24"/>
          <w:rtl/>
        </w:rPr>
        <w:t>הר"ן</w:t>
      </w:r>
      <w:proofErr w:type="spellEnd"/>
      <w:r>
        <w:rPr>
          <w:rFonts w:asciiTheme="minorBidi" w:hAnsiTheme="minorBidi" w:cs="Arial" w:hint="cs"/>
          <w:sz w:val="24"/>
          <w:szCs w:val="24"/>
          <w:rtl/>
        </w:rPr>
        <w:t xml:space="preserve"> פוסק </w:t>
      </w:r>
      <w:proofErr w:type="spellStart"/>
      <w:r>
        <w:rPr>
          <w:rFonts w:asciiTheme="minorBidi" w:hAnsiTheme="minorBidi" w:cs="Arial" w:hint="cs"/>
          <w:sz w:val="24"/>
          <w:szCs w:val="24"/>
          <w:rtl/>
        </w:rPr>
        <w:t>לקולא</w:t>
      </w:r>
      <w:proofErr w:type="spellEnd"/>
      <w:r w:rsidR="003A7DCB">
        <w:rPr>
          <w:rFonts w:asciiTheme="minorBidi" w:hAnsiTheme="minorBidi" w:cs="Arial" w:hint="cs"/>
          <w:sz w:val="24"/>
          <w:szCs w:val="24"/>
          <w:rtl/>
        </w:rPr>
        <w:t xml:space="preserve"> וכן הבין בעל </w:t>
      </w:r>
      <w:r w:rsidR="003A7DCB" w:rsidRPr="003A7DCB">
        <w:rPr>
          <w:rFonts w:asciiTheme="minorBidi" w:hAnsiTheme="minorBidi" w:cs="Arial" w:hint="cs"/>
          <w:b/>
          <w:bCs/>
          <w:sz w:val="24"/>
          <w:szCs w:val="24"/>
          <w:rtl/>
        </w:rPr>
        <w:t>באר הגולה</w:t>
      </w:r>
      <w:r w:rsidR="003A7DCB">
        <w:rPr>
          <w:rFonts w:asciiTheme="minorBidi" w:hAnsiTheme="minorBidi" w:cs="Arial" w:hint="cs"/>
          <w:sz w:val="24"/>
          <w:szCs w:val="24"/>
          <w:rtl/>
        </w:rPr>
        <w:t xml:space="preserve"> את דברי </w:t>
      </w:r>
      <w:proofErr w:type="spellStart"/>
      <w:r w:rsidR="003A7DCB">
        <w:rPr>
          <w:rFonts w:asciiTheme="minorBidi" w:hAnsiTheme="minorBidi" w:cs="Arial" w:hint="cs"/>
          <w:sz w:val="24"/>
          <w:szCs w:val="24"/>
          <w:rtl/>
        </w:rPr>
        <w:t>הר"ן</w:t>
      </w:r>
      <w:proofErr w:type="spellEnd"/>
      <w:r w:rsidR="003A7DCB">
        <w:rPr>
          <w:rFonts w:asciiTheme="minorBidi" w:hAnsiTheme="minorBidi" w:cs="Arial" w:hint="cs"/>
          <w:sz w:val="24"/>
          <w:szCs w:val="24"/>
          <w:rtl/>
        </w:rPr>
        <w:t xml:space="preserve">. </w:t>
      </w:r>
      <w:r>
        <w:rPr>
          <w:rFonts w:asciiTheme="minorBidi" w:hAnsiTheme="minorBidi" w:cs="Arial" w:hint="cs"/>
          <w:sz w:val="24"/>
          <w:szCs w:val="24"/>
          <w:rtl/>
        </w:rPr>
        <w:t xml:space="preserve"> </w:t>
      </w:r>
      <w:r w:rsidR="003A7DCB">
        <w:rPr>
          <w:rFonts w:asciiTheme="minorBidi" w:hAnsiTheme="minorBidi" w:cs="Arial" w:hint="cs"/>
          <w:sz w:val="24"/>
          <w:szCs w:val="24"/>
          <w:rtl/>
        </w:rPr>
        <w:t xml:space="preserve">אך </w:t>
      </w:r>
      <w:proofErr w:type="spellStart"/>
      <w:r w:rsidRPr="00DC604C">
        <w:rPr>
          <w:rFonts w:asciiTheme="minorBidi" w:hAnsiTheme="minorBidi" w:cs="Arial" w:hint="cs"/>
          <w:b/>
          <w:bCs/>
          <w:sz w:val="24"/>
          <w:szCs w:val="24"/>
          <w:rtl/>
        </w:rPr>
        <w:t>החיד"א</w:t>
      </w:r>
      <w:proofErr w:type="spellEnd"/>
      <w:r>
        <w:rPr>
          <w:rFonts w:asciiTheme="minorBidi" w:hAnsiTheme="minorBidi" w:cs="Arial" w:hint="cs"/>
          <w:sz w:val="24"/>
          <w:szCs w:val="24"/>
          <w:rtl/>
        </w:rPr>
        <w:t xml:space="preserve"> (שיורי ברכה, יורה דעה, </w:t>
      </w:r>
      <w:proofErr w:type="spellStart"/>
      <w:r>
        <w:rPr>
          <w:rFonts w:asciiTheme="minorBidi" w:hAnsiTheme="minorBidi" w:cs="Arial" w:hint="cs"/>
          <w:sz w:val="24"/>
          <w:szCs w:val="24"/>
          <w:rtl/>
        </w:rPr>
        <w:t>רנח</w:t>
      </w:r>
      <w:proofErr w:type="spellEnd"/>
      <w:r>
        <w:rPr>
          <w:rFonts w:asciiTheme="minorBidi" w:hAnsiTheme="minorBidi" w:cs="Arial" w:hint="cs"/>
          <w:sz w:val="24"/>
          <w:szCs w:val="24"/>
          <w:rtl/>
        </w:rPr>
        <w:t>, אות ב) סובר כי</w:t>
      </w:r>
      <w:r w:rsidR="003A7DCB">
        <w:rPr>
          <w:rFonts w:asciiTheme="minorBidi" w:hAnsiTheme="minorBidi" w:cs="Arial" w:hint="cs"/>
          <w:sz w:val="24"/>
          <w:szCs w:val="24"/>
          <w:rtl/>
        </w:rPr>
        <w:t xml:space="preserve"> גם </w:t>
      </w:r>
      <w:r>
        <w:rPr>
          <w:rFonts w:asciiTheme="minorBidi" w:hAnsiTheme="minorBidi" w:cs="Arial" w:hint="cs"/>
          <w:sz w:val="24"/>
          <w:szCs w:val="24"/>
          <w:rtl/>
        </w:rPr>
        <w:t xml:space="preserve"> </w:t>
      </w:r>
      <w:proofErr w:type="spellStart"/>
      <w:r>
        <w:rPr>
          <w:rFonts w:asciiTheme="minorBidi" w:hAnsiTheme="minorBidi" w:cs="Arial" w:hint="cs"/>
          <w:sz w:val="24"/>
          <w:szCs w:val="24"/>
          <w:rtl/>
        </w:rPr>
        <w:t>הר"ן</w:t>
      </w:r>
      <w:proofErr w:type="spellEnd"/>
      <w:r>
        <w:rPr>
          <w:rFonts w:asciiTheme="minorBidi" w:hAnsiTheme="minorBidi" w:cs="Arial" w:hint="cs"/>
          <w:sz w:val="24"/>
          <w:szCs w:val="24"/>
          <w:rtl/>
        </w:rPr>
        <w:t xml:space="preserve"> סובר להחמיר מכיוון שהוא מסכים עם הכלל של הרמב"ם , כי כל מקום שהגמרא אומרת "אם תמצא לומר" על אחד הצדדים בספק  אות היא שהגמרא כך מכריעה להלכה . </w:t>
      </w:r>
    </w:p>
    <w:p w:rsidR="003A7DCB" w:rsidRDefault="003A7DCB" w:rsidP="003A7DCB">
      <w:pPr>
        <w:rPr>
          <w:rFonts w:asciiTheme="minorBidi" w:hAnsiTheme="minorBidi" w:cs="Arial"/>
          <w:sz w:val="24"/>
          <w:szCs w:val="24"/>
          <w:rtl/>
        </w:rPr>
      </w:pPr>
      <w:r>
        <w:rPr>
          <w:rFonts w:asciiTheme="minorBidi" w:hAnsiTheme="minorBidi" w:cs="Arial" w:hint="cs"/>
          <w:sz w:val="24"/>
          <w:szCs w:val="24"/>
          <w:rtl/>
        </w:rPr>
        <w:lastRenderedPageBreak/>
        <w:t>הגדיל לעשות מרן בפירוש כסף משנה על הרמב"ם שכתב שהגדיר את הספק הזה "</w:t>
      </w:r>
      <w:proofErr w:type="spellStart"/>
      <w:r>
        <w:rPr>
          <w:rFonts w:asciiTheme="minorBidi" w:hAnsiTheme="minorBidi" w:cs="Arial" w:hint="cs"/>
          <w:sz w:val="24"/>
          <w:szCs w:val="24"/>
          <w:rtl/>
        </w:rPr>
        <w:t>בעיא</w:t>
      </w:r>
      <w:proofErr w:type="spellEnd"/>
      <w:r>
        <w:rPr>
          <w:rFonts w:asciiTheme="minorBidi" w:hAnsiTheme="minorBidi" w:cs="Arial" w:hint="cs"/>
          <w:sz w:val="24"/>
          <w:szCs w:val="24"/>
          <w:rtl/>
        </w:rPr>
        <w:t xml:space="preserve"> </w:t>
      </w:r>
      <w:proofErr w:type="spellStart"/>
      <w:r>
        <w:rPr>
          <w:rFonts w:asciiTheme="minorBidi" w:hAnsiTheme="minorBidi" w:cs="Arial" w:hint="cs"/>
          <w:sz w:val="24"/>
          <w:szCs w:val="24"/>
          <w:rtl/>
        </w:rPr>
        <w:t>דאיפשטא</w:t>
      </w:r>
      <w:proofErr w:type="spellEnd"/>
      <w:r>
        <w:rPr>
          <w:rFonts w:asciiTheme="minorBidi" w:hAnsiTheme="minorBidi" w:cs="Arial" w:hint="cs"/>
          <w:sz w:val="24"/>
          <w:szCs w:val="24"/>
          <w:rtl/>
        </w:rPr>
        <w:t xml:space="preserve">" , מאחר שהגמרא אומרת אחר כך על אחד הצדדים "אם תמצא לומר". </w:t>
      </w:r>
    </w:p>
    <w:p w:rsidR="00DC604C" w:rsidRDefault="00DC604C" w:rsidP="00DC604C">
      <w:pPr>
        <w:rPr>
          <w:rFonts w:asciiTheme="minorBidi" w:hAnsiTheme="minorBidi" w:cs="Arial"/>
          <w:sz w:val="24"/>
          <w:szCs w:val="24"/>
          <w:rtl/>
        </w:rPr>
      </w:pPr>
      <w:r w:rsidRPr="00DC604C">
        <w:rPr>
          <w:rFonts w:asciiTheme="minorBidi" w:hAnsiTheme="minorBidi" w:cs="Arial" w:hint="cs"/>
          <w:b/>
          <w:bCs/>
          <w:sz w:val="24"/>
          <w:szCs w:val="24"/>
          <w:rtl/>
        </w:rPr>
        <w:t>הרמב"ם</w:t>
      </w:r>
      <w:r>
        <w:rPr>
          <w:rFonts w:asciiTheme="minorBidi" w:hAnsiTheme="minorBidi" w:cs="Arial" w:hint="cs"/>
          <w:sz w:val="24"/>
          <w:szCs w:val="24"/>
          <w:rtl/>
        </w:rPr>
        <w:t xml:space="preserve"> (מתנות עניים פ"ח, </w:t>
      </w:r>
      <w:proofErr w:type="spellStart"/>
      <w:r>
        <w:rPr>
          <w:rFonts w:asciiTheme="minorBidi" w:hAnsiTheme="minorBidi" w:cs="Arial" w:hint="cs"/>
          <w:sz w:val="24"/>
          <w:szCs w:val="24"/>
          <w:rtl/>
        </w:rPr>
        <w:t>ה"ב</w:t>
      </w:r>
      <w:proofErr w:type="spellEnd"/>
      <w:r>
        <w:rPr>
          <w:rFonts w:asciiTheme="minorBidi" w:hAnsiTheme="minorBidi" w:cs="Arial" w:hint="cs"/>
          <w:sz w:val="24"/>
          <w:szCs w:val="24"/>
          <w:rtl/>
        </w:rPr>
        <w:t xml:space="preserve">) הכריע </w:t>
      </w:r>
      <w:proofErr w:type="spellStart"/>
      <w:r>
        <w:rPr>
          <w:rFonts w:asciiTheme="minorBidi" w:hAnsiTheme="minorBidi" w:cs="Arial" w:hint="cs"/>
          <w:sz w:val="24"/>
          <w:szCs w:val="24"/>
          <w:rtl/>
        </w:rPr>
        <w:t>לחומרא</w:t>
      </w:r>
      <w:proofErr w:type="spellEnd"/>
      <w:r>
        <w:rPr>
          <w:rFonts w:asciiTheme="minorBidi" w:hAnsiTheme="minorBidi" w:cs="Arial" w:hint="cs"/>
          <w:sz w:val="24"/>
          <w:szCs w:val="24"/>
          <w:rtl/>
        </w:rPr>
        <w:t xml:space="preserve">. וכן פסק מרן </w:t>
      </w:r>
      <w:r w:rsidRPr="00DC604C">
        <w:rPr>
          <w:rFonts w:asciiTheme="minorBidi" w:hAnsiTheme="minorBidi" w:cs="Arial" w:hint="cs"/>
          <w:b/>
          <w:bCs/>
          <w:sz w:val="24"/>
          <w:szCs w:val="24"/>
          <w:rtl/>
        </w:rPr>
        <w:t xml:space="preserve">השולחן ערוך </w:t>
      </w:r>
      <w:r>
        <w:rPr>
          <w:rFonts w:asciiTheme="minorBidi" w:hAnsiTheme="minorBidi" w:cs="Arial" w:hint="cs"/>
          <w:sz w:val="24"/>
          <w:szCs w:val="24"/>
          <w:rtl/>
        </w:rPr>
        <w:t xml:space="preserve">(יו"ד, </w:t>
      </w:r>
      <w:proofErr w:type="spellStart"/>
      <w:r>
        <w:rPr>
          <w:rFonts w:asciiTheme="minorBidi" w:hAnsiTheme="minorBidi" w:cs="Arial" w:hint="cs"/>
          <w:sz w:val="24"/>
          <w:szCs w:val="24"/>
          <w:rtl/>
        </w:rPr>
        <w:t>רנח</w:t>
      </w:r>
      <w:proofErr w:type="spellEnd"/>
      <w:r>
        <w:rPr>
          <w:rFonts w:asciiTheme="minorBidi" w:hAnsiTheme="minorBidi" w:cs="Arial" w:hint="cs"/>
          <w:sz w:val="24"/>
          <w:szCs w:val="24"/>
          <w:rtl/>
        </w:rPr>
        <w:t xml:space="preserve"> , ב)</w:t>
      </w:r>
    </w:p>
    <w:p w:rsidR="003A7DCB" w:rsidRPr="003A7DCB" w:rsidRDefault="003A7DCB" w:rsidP="00DC604C">
      <w:pPr>
        <w:rPr>
          <w:rFonts w:asciiTheme="minorBidi" w:hAnsiTheme="minorBidi" w:cs="Arial"/>
          <w:sz w:val="24"/>
          <w:szCs w:val="24"/>
          <w:rtl/>
        </w:rPr>
      </w:pPr>
      <w:r>
        <w:rPr>
          <w:rFonts w:asciiTheme="minorBidi" w:hAnsiTheme="minorBidi" w:cs="Arial" w:hint="cs"/>
          <w:sz w:val="24"/>
          <w:szCs w:val="24"/>
          <w:rtl/>
        </w:rPr>
        <w:t xml:space="preserve">את קושיית </w:t>
      </w:r>
      <w:proofErr w:type="spellStart"/>
      <w:r>
        <w:rPr>
          <w:rFonts w:asciiTheme="minorBidi" w:hAnsiTheme="minorBidi" w:cs="Arial" w:hint="cs"/>
          <w:sz w:val="24"/>
          <w:szCs w:val="24"/>
          <w:rtl/>
        </w:rPr>
        <w:t>הר"ן</w:t>
      </w:r>
      <w:proofErr w:type="spellEnd"/>
      <w:r>
        <w:rPr>
          <w:rFonts w:asciiTheme="minorBidi" w:hAnsiTheme="minorBidi" w:cs="Arial" w:hint="cs"/>
          <w:sz w:val="24"/>
          <w:szCs w:val="24"/>
          <w:rtl/>
        </w:rPr>
        <w:t xml:space="preserve"> על הראשונים המחמירים , מתרץ בספר </w:t>
      </w:r>
      <w:r>
        <w:rPr>
          <w:rFonts w:asciiTheme="minorBidi" w:hAnsiTheme="minorBidi" w:cs="Arial" w:hint="cs"/>
          <w:b/>
          <w:bCs/>
          <w:sz w:val="24"/>
          <w:szCs w:val="24"/>
          <w:rtl/>
        </w:rPr>
        <w:t xml:space="preserve">יצחק ירנן </w:t>
      </w:r>
      <w:r>
        <w:rPr>
          <w:rStyle w:val="a5"/>
          <w:rFonts w:asciiTheme="minorBidi" w:hAnsiTheme="minorBidi" w:cs="Arial"/>
          <w:b/>
          <w:bCs/>
          <w:sz w:val="24"/>
          <w:szCs w:val="24"/>
          <w:rtl/>
        </w:rPr>
        <w:footnoteReference w:id="3"/>
      </w:r>
      <w:r>
        <w:rPr>
          <w:rFonts w:asciiTheme="minorBidi" w:hAnsiTheme="minorBidi" w:cs="Arial" w:hint="cs"/>
          <w:sz w:val="24"/>
          <w:szCs w:val="24"/>
          <w:rtl/>
        </w:rPr>
        <w:t xml:space="preserve">על הרמב"ם. ברור הדבר שכל דיני צדקה הם נכנסים לקטגוריה של ממון עניים </w:t>
      </w:r>
      <w:proofErr w:type="spellStart"/>
      <w:r>
        <w:rPr>
          <w:rFonts w:asciiTheme="minorBidi" w:hAnsiTheme="minorBidi" w:cs="Arial" w:hint="cs"/>
          <w:sz w:val="24"/>
          <w:szCs w:val="24"/>
          <w:rtl/>
        </w:rPr>
        <w:t>ולקולא</w:t>
      </w:r>
      <w:proofErr w:type="spellEnd"/>
      <w:r>
        <w:rPr>
          <w:rFonts w:asciiTheme="minorBidi" w:hAnsiTheme="minorBidi" w:cs="Arial" w:hint="cs"/>
          <w:sz w:val="24"/>
          <w:szCs w:val="24"/>
          <w:rtl/>
        </w:rPr>
        <w:t xml:space="preserve"> כפי ההוכחות שהביא </w:t>
      </w:r>
      <w:proofErr w:type="spellStart"/>
      <w:r>
        <w:rPr>
          <w:rFonts w:asciiTheme="minorBidi" w:hAnsiTheme="minorBidi" w:cs="Arial" w:hint="cs"/>
          <w:sz w:val="24"/>
          <w:szCs w:val="24"/>
          <w:rtl/>
        </w:rPr>
        <w:t>הר"ן</w:t>
      </w:r>
      <w:proofErr w:type="spellEnd"/>
      <w:r>
        <w:rPr>
          <w:rFonts w:asciiTheme="minorBidi" w:hAnsiTheme="minorBidi" w:cs="Arial" w:hint="cs"/>
          <w:sz w:val="24"/>
          <w:szCs w:val="24"/>
          <w:rtl/>
        </w:rPr>
        <w:t>. אבל הקדשת דבר לצדקה נלמד המילה "מעמך" בפסוק העוסק בנדרים</w:t>
      </w:r>
      <w:r w:rsidR="00440498">
        <w:rPr>
          <w:rStyle w:val="a5"/>
          <w:rFonts w:asciiTheme="minorBidi" w:hAnsiTheme="minorBidi" w:cs="Arial"/>
          <w:sz w:val="24"/>
          <w:szCs w:val="24"/>
          <w:rtl/>
        </w:rPr>
        <w:footnoteReference w:id="4"/>
      </w:r>
      <w:r>
        <w:rPr>
          <w:rFonts w:asciiTheme="minorBidi" w:hAnsiTheme="minorBidi" w:cs="Arial" w:hint="cs"/>
          <w:sz w:val="24"/>
          <w:szCs w:val="24"/>
          <w:rtl/>
        </w:rPr>
        <w:t xml:space="preserve"> ולכן ספציפית ההלכה הזו עוברת מתחום </w:t>
      </w:r>
      <w:proofErr w:type="spellStart"/>
      <w:r>
        <w:rPr>
          <w:rFonts w:asciiTheme="minorBidi" w:hAnsiTheme="minorBidi" w:cs="Arial" w:hint="cs"/>
          <w:sz w:val="24"/>
          <w:szCs w:val="24"/>
          <w:rtl/>
        </w:rPr>
        <w:t>ממונא</w:t>
      </w:r>
      <w:proofErr w:type="spellEnd"/>
      <w:r>
        <w:rPr>
          <w:rFonts w:asciiTheme="minorBidi" w:hAnsiTheme="minorBidi" w:cs="Arial" w:hint="cs"/>
          <w:sz w:val="24"/>
          <w:szCs w:val="24"/>
          <w:rtl/>
        </w:rPr>
        <w:t xml:space="preserve"> לתחום </w:t>
      </w:r>
      <w:proofErr w:type="spellStart"/>
      <w:r>
        <w:rPr>
          <w:rFonts w:asciiTheme="minorBidi" w:hAnsiTheme="minorBidi" w:cs="Arial" w:hint="cs"/>
          <w:sz w:val="24"/>
          <w:szCs w:val="24"/>
          <w:rtl/>
        </w:rPr>
        <w:t>איסורא</w:t>
      </w:r>
      <w:proofErr w:type="spellEnd"/>
      <w:r>
        <w:rPr>
          <w:rFonts w:asciiTheme="minorBidi" w:hAnsiTheme="minorBidi" w:cs="Arial" w:hint="cs"/>
          <w:sz w:val="24"/>
          <w:szCs w:val="24"/>
          <w:rtl/>
        </w:rPr>
        <w:t xml:space="preserve"> ולכן יש להחמיר בעניין הזה. </w:t>
      </w:r>
    </w:p>
    <w:p w:rsidR="00DC604C" w:rsidRDefault="00DC604C" w:rsidP="00DC604C">
      <w:pPr>
        <w:rPr>
          <w:rFonts w:asciiTheme="minorBidi" w:hAnsiTheme="minorBidi" w:cs="Arial" w:hint="cs"/>
          <w:sz w:val="24"/>
          <w:szCs w:val="24"/>
          <w:rtl/>
        </w:rPr>
      </w:pPr>
    </w:p>
    <w:p w:rsidR="00DC604C" w:rsidRDefault="00DC604C" w:rsidP="005A76C8">
      <w:pPr>
        <w:rPr>
          <w:rFonts w:asciiTheme="minorBidi" w:hAnsiTheme="minorBidi" w:cs="Arial"/>
          <w:sz w:val="24"/>
          <w:szCs w:val="24"/>
          <w:rtl/>
        </w:rPr>
      </w:pPr>
    </w:p>
    <w:p w:rsidR="00DC604C" w:rsidRPr="00B52EEF" w:rsidRDefault="00DC604C" w:rsidP="005A76C8">
      <w:pPr>
        <w:rPr>
          <w:rFonts w:asciiTheme="minorBidi" w:hAnsiTheme="minorBidi" w:cs="Arial"/>
          <w:sz w:val="24"/>
          <w:szCs w:val="24"/>
          <w:rtl/>
        </w:rPr>
      </w:pPr>
    </w:p>
    <w:p w:rsidR="00AD4A09" w:rsidRDefault="00AD4A09" w:rsidP="005A76C8">
      <w:pPr>
        <w:rPr>
          <w:rFonts w:asciiTheme="minorBidi" w:hAnsiTheme="minorBidi" w:cs="Arial"/>
          <w:b/>
          <w:bCs/>
          <w:sz w:val="24"/>
          <w:szCs w:val="24"/>
          <w:rtl/>
        </w:rPr>
      </w:pPr>
      <w:r>
        <w:rPr>
          <w:rFonts w:asciiTheme="minorBidi" w:hAnsiTheme="minorBidi" w:cs="Arial" w:hint="cs"/>
          <w:sz w:val="24"/>
          <w:szCs w:val="24"/>
          <w:rtl/>
        </w:rPr>
        <w:t xml:space="preserve">                                     </w:t>
      </w:r>
      <w:r>
        <w:rPr>
          <w:rFonts w:asciiTheme="minorBidi" w:hAnsiTheme="minorBidi" w:cs="Arial" w:hint="cs"/>
          <w:b/>
          <w:bCs/>
          <w:sz w:val="24"/>
          <w:szCs w:val="24"/>
          <w:rtl/>
        </w:rPr>
        <w:t xml:space="preserve">ד.   </w:t>
      </w:r>
      <w:r w:rsidRPr="00AD4A09">
        <w:rPr>
          <w:rFonts w:asciiTheme="minorBidi" w:hAnsiTheme="minorBidi" w:cs="Arial" w:hint="cs"/>
          <w:b/>
          <w:bCs/>
          <w:sz w:val="32"/>
          <w:szCs w:val="32"/>
          <w:rtl/>
        </w:rPr>
        <w:t>יד להפקר</w:t>
      </w:r>
      <w:r>
        <w:rPr>
          <w:rFonts w:asciiTheme="minorBidi" w:hAnsiTheme="minorBidi" w:cs="Arial" w:hint="cs"/>
          <w:b/>
          <w:bCs/>
          <w:sz w:val="24"/>
          <w:szCs w:val="24"/>
          <w:rtl/>
        </w:rPr>
        <w:t xml:space="preserve"> </w:t>
      </w:r>
    </w:p>
    <w:p w:rsidR="00AD4A09" w:rsidRPr="00AD4A09" w:rsidRDefault="00AD4A09" w:rsidP="005A76C8">
      <w:pPr>
        <w:rPr>
          <w:rFonts w:asciiTheme="minorBidi" w:hAnsiTheme="minorBidi" w:cs="Arial"/>
          <w:sz w:val="24"/>
          <w:szCs w:val="24"/>
          <w:rtl/>
        </w:rPr>
      </w:pPr>
      <w:r w:rsidRPr="00AD4A09">
        <w:rPr>
          <w:rFonts w:asciiTheme="minorBidi" w:hAnsiTheme="minorBidi" w:cs="Arial" w:hint="cs"/>
          <w:b/>
          <w:bCs/>
          <w:sz w:val="24"/>
          <w:szCs w:val="24"/>
          <w:u w:val="single"/>
          <w:rtl/>
        </w:rPr>
        <w:t>המקרה:</w:t>
      </w:r>
      <w:r>
        <w:rPr>
          <w:rFonts w:asciiTheme="minorBidi" w:hAnsiTheme="minorBidi" w:cs="Arial" w:hint="cs"/>
          <w:b/>
          <w:bCs/>
          <w:sz w:val="24"/>
          <w:szCs w:val="24"/>
          <w:rtl/>
        </w:rPr>
        <w:t xml:space="preserve"> </w:t>
      </w:r>
      <w:r>
        <w:rPr>
          <w:rFonts w:asciiTheme="minorBidi" w:hAnsiTheme="minorBidi" w:cs="Arial" w:hint="cs"/>
          <w:sz w:val="24"/>
          <w:szCs w:val="24"/>
          <w:rtl/>
        </w:rPr>
        <w:t xml:space="preserve">אדם אמר על חפץ מסויים שהוא הפקר ואז הצביע על חפץ סמוך ואמר "וזה". התלבטות האם הפקר דומה לצדקה (ובצדקה יש צד לומר כי יש יד מאחר </w:t>
      </w:r>
      <w:proofErr w:type="spellStart"/>
      <w:r>
        <w:rPr>
          <w:rFonts w:asciiTheme="minorBidi" w:hAnsiTheme="minorBidi" w:cs="Arial" w:hint="cs"/>
          <w:sz w:val="24"/>
          <w:szCs w:val="24"/>
          <w:rtl/>
        </w:rPr>
        <w:t>שהוקש</w:t>
      </w:r>
      <w:proofErr w:type="spellEnd"/>
      <w:r>
        <w:rPr>
          <w:rFonts w:asciiTheme="minorBidi" w:hAnsiTheme="minorBidi" w:cs="Arial" w:hint="cs"/>
          <w:sz w:val="24"/>
          <w:szCs w:val="24"/>
          <w:rtl/>
        </w:rPr>
        <w:t xml:space="preserve"> להקדש) או אולי שונה הפקר מצדקה כי צדקה זה רק לעניים ואילו הפקר לכל אדם.</w:t>
      </w:r>
    </w:p>
    <w:p w:rsidR="00C7188F" w:rsidRDefault="005A76C8" w:rsidP="00C7188F">
      <w:pPr>
        <w:rPr>
          <w:rFonts w:asciiTheme="minorBidi" w:hAnsiTheme="minorBidi" w:cs="Arial"/>
          <w:sz w:val="24"/>
          <w:szCs w:val="24"/>
          <w:rtl/>
        </w:rPr>
      </w:pPr>
      <w:proofErr w:type="spellStart"/>
      <w:r>
        <w:rPr>
          <w:rFonts w:asciiTheme="minorBidi" w:hAnsiTheme="minorBidi" w:cs="Arial" w:hint="cs"/>
          <w:b/>
          <w:bCs/>
          <w:sz w:val="24"/>
          <w:szCs w:val="24"/>
          <w:rtl/>
        </w:rPr>
        <w:t>הר"ן</w:t>
      </w:r>
      <w:proofErr w:type="spellEnd"/>
      <w:r>
        <w:rPr>
          <w:rFonts w:asciiTheme="minorBidi" w:hAnsiTheme="minorBidi" w:cs="Arial" w:hint="cs"/>
          <w:b/>
          <w:bCs/>
          <w:sz w:val="24"/>
          <w:szCs w:val="24"/>
          <w:rtl/>
        </w:rPr>
        <w:t xml:space="preserve"> </w:t>
      </w:r>
      <w:r>
        <w:rPr>
          <w:rFonts w:asciiTheme="minorBidi" w:hAnsiTheme="minorBidi" w:cs="Arial" w:hint="cs"/>
          <w:sz w:val="24"/>
          <w:szCs w:val="24"/>
          <w:rtl/>
        </w:rPr>
        <w:t xml:space="preserve"> פוסק כי הפקר ודאי דיני ממונות הוא ולכן פוסקים </w:t>
      </w:r>
      <w:proofErr w:type="spellStart"/>
      <w:r>
        <w:rPr>
          <w:rFonts w:asciiTheme="minorBidi" w:hAnsiTheme="minorBidi" w:cs="Arial" w:hint="cs"/>
          <w:sz w:val="24"/>
          <w:szCs w:val="24"/>
          <w:rtl/>
        </w:rPr>
        <w:t>לקולא</w:t>
      </w:r>
      <w:proofErr w:type="spellEnd"/>
      <w:r>
        <w:rPr>
          <w:rFonts w:asciiTheme="minorBidi" w:hAnsiTheme="minorBidi" w:cs="Arial" w:hint="cs"/>
          <w:sz w:val="24"/>
          <w:szCs w:val="24"/>
          <w:rtl/>
        </w:rPr>
        <w:t xml:space="preserve"> כלומר החפץ השני אינו הפקר. </w:t>
      </w:r>
      <w:r>
        <w:rPr>
          <w:rFonts w:asciiTheme="minorBidi" w:hAnsiTheme="minorBidi" w:cs="Arial" w:hint="cs"/>
          <w:b/>
          <w:bCs/>
          <w:sz w:val="24"/>
          <w:szCs w:val="24"/>
          <w:rtl/>
        </w:rPr>
        <w:t xml:space="preserve">הרמב"ם </w:t>
      </w:r>
      <w:r>
        <w:rPr>
          <w:rFonts w:asciiTheme="minorBidi" w:hAnsiTheme="minorBidi" w:cs="Arial" w:hint="cs"/>
          <w:sz w:val="24"/>
          <w:szCs w:val="24"/>
          <w:rtl/>
        </w:rPr>
        <w:t xml:space="preserve">(הלכות נדרים ב. </w:t>
      </w:r>
      <w:proofErr w:type="spellStart"/>
      <w:r>
        <w:rPr>
          <w:rFonts w:asciiTheme="minorBidi" w:hAnsiTheme="minorBidi" w:cs="Arial" w:hint="cs"/>
          <w:sz w:val="24"/>
          <w:szCs w:val="24"/>
          <w:rtl/>
        </w:rPr>
        <w:t>טז</w:t>
      </w:r>
      <w:proofErr w:type="spellEnd"/>
      <w:r>
        <w:rPr>
          <w:rFonts w:asciiTheme="minorBidi" w:hAnsiTheme="minorBidi" w:cs="Arial" w:hint="cs"/>
          <w:sz w:val="24"/>
          <w:szCs w:val="24"/>
          <w:rtl/>
        </w:rPr>
        <w:t>) פסק להחמיר ולכן החפץ הוא ספק הפקר</w:t>
      </w:r>
      <w:r w:rsidR="00C7188F">
        <w:rPr>
          <w:rStyle w:val="a5"/>
          <w:rFonts w:asciiTheme="minorBidi" w:hAnsiTheme="minorBidi" w:cs="Arial"/>
          <w:sz w:val="24"/>
          <w:szCs w:val="24"/>
          <w:rtl/>
        </w:rPr>
        <w:footnoteReference w:id="5"/>
      </w:r>
      <w:r>
        <w:rPr>
          <w:rFonts w:asciiTheme="minorBidi" w:hAnsiTheme="minorBidi" w:cs="Arial" w:hint="cs"/>
          <w:sz w:val="24"/>
          <w:szCs w:val="24"/>
          <w:rtl/>
        </w:rPr>
        <w:t>.</w:t>
      </w:r>
      <w:r w:rsidR="00C7188F">
        <w:rPr>
          <w:rFonts w:asciiTheme="minorBidi" w:hAnsiTheme="minorBidi" w:cs="Arial" w:hint="cs"/>
          <w:sz w:val="24"/>
          <w:szCs w:val="24"/>
          <w:rtl/>
        </w:rPr>
        <w:t xml:space="preserve"> וכן פסק מרן </w:t>
      </w:r>
      <w:r w:rsidR="00C7188F" w:rsidRPr="00C7188F">
        <w:rPr>
          <w:rFonts w:asciiTheme="minorBidi" w:hAnsiTheme="minorBidi" w:cs="Arial" w:hint="cs"/>
          <w:b/>
          <w:bCs/>
          <w:sz w:val="24"/>
          <w:szCs w:val="24"/>
          <w:rtl/>
        </w:rPr>
        <w:t>בשולחן ערוך</w:t>
      </w:r>
      <w:r w:rsidR="00C7188F">
        <w:rPr>
          <w:rFonts w:asciiTheme="minorBidi" w:hAnsiTheme="minorBidi" w:cs="Arial" w:hint="cs"/>
          <w:sz w:val="24"/>
          <w:szCs w:val="24"/>
          <w:rtl/>
        </w:rPr>
        <w:t xml:space="preserve"> (</w:t>
      </w:r>
      <w:proofErr w:type="spellStart"/>
      <w:r w:rsidR="00C7188F">
        <w:rPr>
          <w:rFonts w:asciiTheme="minorBidi" w:hAnsiTheme="minorBidi" w:cs="Arial" w:hint="cs"/>
          <w:sz w:val="24"/>
          <w:szCs w:val="24"/>
          <w:rtl/>
        </w:rPr>
        <w:t>חו"מ</w:t>
      </w:r>
      <w:proofErr w:type="spellEnd"/>
      <w:r w:rsidR="00C7188F">
        <w:rPr>
          <w:rFonts w:asciiTheme="minorBidi" w:hAnsiTheme="minorBidi" w:cs="Arial" w:hint="cs"/>
          <w:sz w:val="24"/>
          <w:szCs w:val="24"/>
          <w:rtl/>
        </w:rPr>
        <w:t xml:space="preserve"> </w:t>
      </w:r>
      <w:proofErr w:type="spellStart"/>
      <w:r w:rsidR="00C7188F">
        <w:rPr>
          <w:rFonts w:asciiTheme="minorBidi" w:hAnsiTheme="minorBidi" w:cs="Arial" w:hint="cs"/>
          <w:sz w:val="24"/>
          <w:szCs w:val="24"/>
          <w:rtl/>
        </w:rPr>
        <w:t>רעג</w:t>
      </w:r>
      <w:proofErr w:type="spellEnd"/>
      <w:r w:rsidR="00C7188F">
        <w:rPr>
          <w:rFonts w:asciiTheme="minorBidi" w:hAnsiTheme="minorBidi" w:cs="Arial" w:hint="cs"/>
          <w:sz w:val="24"/>
          <w:szCs w:val="24"/>
          <w:rtl/>
        </w:rPr>
        <w:t>, ח)</w:t>
      </w:r>
    </w:p>
    <w:p w:rsidR="005A76C8" w:rsidRDefault="005A76C8" w:rsidP="00C7188F">
      <w:pPr>
        <w:rPr>
          <w:rFonts w:asciiTheme="minorBidi" w:hAnsiTheme="minorBidi" w:cs="Arial"/>
          <w:sz w:val="24"/>
          <w:szCs w:val="24"/>
          <w:rtl/>
        </w:rPr>
      </w:pPr>
      <w:proofErr w:type="spellStart"/>
      <w:r>
        <w:rPr>
          <w:rFonts w:asciiTheme="minorBidi" w:hAnsiTheme="minorBidi" w:cs="Arial" w:hint="cs"/>
          <w:b/>
          <w:bCs/>
          <w:sz w:val="24"/>
          <w:szCs w:val="24"/>
          <w:rtl/>
        </w:rPr>
        <w:t>הרדב"ז</w:t>
      </w:r>
      <w:proofErr w:type="spellEnd"/>
      <w:r>
        <w:rPr>
          <w:rFonts w:asciiTheme="minorBidi" w:hAnsiTheme="minorBidi" w:cs="Arial" w:hint="cs"/>
          <w:b/>
          <w:bCs/>
          <w:sz w:val="24"/>
          <w:szCs w:val="24"/>
          <w:rtl/>
        </w:rPr>
        <w:t xml:space="preserve"> </w:t>
      </w:r>
      <w:r>
        <w:rPr>
          <w:rFonts w:asciiTheme="minorBidi" w:hAnsiTheme="minorBidi" w:cs="Arial" w:hint="cs"/>
          <w:sz w:val="24"/>
          <w:szCs w:val="24"/>
          <w:rtl/>
        </w:rPr>
        <w:t xml:space="preserve">הסביר כי הרמב"ם </w:t>
      </w:r>
      <w:r w:rsidR="00C7188F">
        <w:rPr>
          <w:rFonts w:asciiTheme="minorBidi" w:hAnsiTheme="minorBidi" w:cs="Arial" w:hint="cs"/>
          <w:sz w:val="24"/>
          <w:szCs w:val="24"/>
          <w:rtl/>
        </w:rPr>
        <w:t xml:space="preserve">השווה דין יד להפקר לדין יד לפאה ושם כנאמר לעיל הרמב"ם פסק </w:t>
      </w:r>
      <w:proofErr w:type="spellStart"/>
      <w:r w:rsidR="00C7188F">
        <w:rPr>
          <w:rFonts w:asciiTheme="minorBidi" w:hAnsiTheme="minorBidi" w:cs="Arial" w:hint="cs"/>
          <w:sz w:val="24"/>
          <w:szCs w:val="24"/>
          <w:rtl/>
        </w:rPr>
        <w:t>לחומרא</w:t>
      </w:r>
      <w:proofErr w:type="spellEnd"/>
      <w:r w:rsidR="00C7188F">
        <w:rPr>
          <w:rFonts w:asciiTheme="minorBidi" w:hAnsiTheme="minorBidi" w:cs="Arial" w:hint="cs"/>
          <w:sz w:val="24"/>
          <w:szCs w:val="24"/>
          <w:rtl/>
        </w:rPr>
        <w:t>.</w:t>
      </w:r>
      <w:r w:rsidR="0087618E">
        <w:rPr>
          <w:rStyle w:val="a5"/>
          <w:rFonts w:asciiTheme="minorBidi" w:hAnsiTheme="minorBidi" w:cs="Arial"/>
          <w:sz w:val="24"/>
          <w:szCs w:val="24"/>
          <w:rtl/>
        </w:rPr>
        <w:footnoteReference w:id="6"/>
      </w:r>
      <w:r w:rsidR="00C7188F">
        <w:rPr>
          <w:rFonts w:asciiTheme="minorBidi" w:hAnsiTheme="minorBidi" w:cs="Arial" w:hint="cs"/>
          <w:sz w:val="24"/>
          <w:szCs w:val="24"/>
          <w:rtl/>
        </w:rPr>
        <w:t xml:space="preserve"> </w:t>
      </w:r>
    </w:p>
    <w:p w:rsidR="00C7188F" w:rsidRDefault="00C7188F" w:rsidP="00ED1767">
      <w:pPr>
        <w:rPr>
          <w:rFonts w:asciiTheme="minorBidi" w:hAnsiTheme="minorBidi" w:cs="Arial"/>
          <w:sz w:val="24"/>
          <w:szCs w:val="24"/>
          <w:rtl/>
        </w:rPr>
      </w:pPr>
      <w:r>
        <w:rPr>
          <w:rFonts w:asciiTheme="minorBidi" w:hAnsiTheme="minorBidi" w:cs="Arial" w:hint="cs"/>
          <w:b/>
          <w:bCs/>
          <w:sz w:val="24"/>
          <w:szCs w:val="24"/>
          <w:rtl/>
        </w:rPr>
        <w:t xml:space="preserve">הלחם משנה </w:t>
      </w:r>
      <w:r>
        <w:rPr>
          <w:rFonts w:asciiTheme="minorBidi" w:hAnsiTheme="minorBidi" w:cs="Arial" w:hint="cs"/>
          <w:sz w:val="24"/>
          <w:szCs w:val="24"/>
          <w:rtl/>
        </w:rPr>
        <w:t xml:space="preserve"> ציין כי כיוון שלדעת הרמב"ם , מחמירים מספק, הרי שאם מדובר בדברים החייבים במעשר, חייב לעשרן ואין להם דין הפקר הפטור ממעשר. </w:t>
      </w:r>
    </w:p>
    <w:p w:rsidR="00AD4A09" w:rsidRDefault="00185E02" w:rsidP="00ED1767">
      <w:pPr>
        <w:rPr>
          <w:rFonts w:asciiTheme="minorBidi" w:hAnsiTheme="minorBidi" w:cs="Arial"/>
          <w:b/>
          <w:bCs/>
          <w:sz w:val="32"/>
          <w:szCs w:val="32"/>
          <w:rtl/>
        </w:rPr>
      </w:pPr>
      <w:r>
        <w:rPr>
          <w:rFonts w:asciiTheme="minorBidi" w:hAnsiTheme="minorBidi" w:cs="Arial" w:hint="cs"/>
          <w:sz w:val="24"/>
          <w:szCs w:val="24"/>
          <w:rtl/>
        </w:rPr>
        <w:t xml:space="preserve">                            </w:t>
      </w:r>
      <w:r w:rsidR="00AD4A09">
        <w:rPr>
          <w:rFonts w:asciiTheme="minorBidi" w:hAnsiTheme="minorBidi" w:cs="Arial" w:hint="cs"/>
          <w:sz w:val="24"/>
          <w:szCs w:val="24"/>
          <w:rtl/>
        </w:rPr>
        <w:t xml:space="preserve"> </w:t>
      </w:r>
      <w:r w:rsidR="00AD4A09">
        <w:rPr>
          <w:rFonts w:asciiTheme="minorBidi" w:hAnsiTheme="minorBidi" w:cs="Arial" w:hint="cs"/>
          <w:b/>
          <w:bCs/>
          <w:sz w:val="24"/>
          <w:szCs w:val="24"/>
          <w:rtl/>
        </w:rPr>
        <w:t xml:space="preserve">ה. </w:t>
      </w:r>
      <w:r w:rsidR="00AD4A09">
        <w:rPr>
          <w:rFonts w:asciiTheme="minorBidi" w:hAnsiTheme="minorBidi" w:cs="Arial" w:hint="cs"/>
          <w:b/>
          <w:bCs/>
          <w:sz w:val="32"/>
          <w:szCs w:val="32"/>
          <w:rtl/>
        </w:rPr>
        <w:t xml:space="preserve">יד לבית </w:t>
      </w:r>
      <w:proofErr w:type="spellStart"/>
      <w:r w:rsidR="00AD4A09">
        <w:rPr>
          <w:rFonts w:asciiTheme="minorBidi" w:hAnsiTheme="minorBidi" w:cs="Arial" w:hint="cs"/>
          <w:b/>
          <w:bCs/>
          <w:sz w:val="32"/>
          <w:szCs w:val="32"/>
          <w:rtl/>
        </w:rPr>
        <w:t>הכסא</w:t>
      </w:r>
      <w:proofErr w:type="spellEnd"/>
    </w:p>
    <w:p w:rsidR="00185E02" w:rsidRDefault="00AD4A09" w:rsidP="00EF15FF">
      <w:pPr>
        <w:rPr>
          <w:rFonts w:asciiTheme="minorBidi" w:hAnsiTheme="minorBidi" w:cs="Arial"/>
          <w:sz w:val="24"/>
          <w:szCs w:val="24"/>
          <w:rtl/>
        </w:rPr>
      </w:pPr>
      <w:r>
        <w:rPr>
          <w:rFonts w:asciiTheme="minorBidi" w:hAnsiTheme="minorBidi" w:cs="Arial" w:hint="cs"/>
          <w:b/>
          <w:bCs/>
          <w:sz w:val="24"/>
          <w:szCs w:val="24"/>
          <w:u w:val="single"/>
          <w:rtl/>
        </w:rPr>
        <w:t>המקרה:</w:t>
      </w:r>
      <w:r>
        <w:rPr>
          <w:rFonts w:asciiTheme="minorBidi" w:hAnsiTheme="minorBidi" w:cs="Arial" w:hint="cs"/>
          <w:sz w:val="24"/>
          <w:szCs w:val="24"/>
          <w:rtl/>
        </w:rPr>
        <w:t xml:space="preserve"> בהנחה שזימון בית </w:t>
      </w:r>
      <w:proofErr w:type="spellStart"/>
      <w:r>
        <w:rPr>
          <w:rFonts w:asciiTheme="minorBidi" w:hAnsiTheme="minorBidi" w:cs="Arial" w:hint="cs"/>
          <w:sz w:val="24"/>
          <w:szCs w:val="24"/>
          <w:rtl/>
        </w:rPr>
        <w:t>הכסא</w:t>
      </w:r>
      <w:proofErr w:type="spellEnd"/>
      <w:r>
        <w:rPr>
          <w:rFonts w:asciiTheme="minorBidi" w:hAnsiTheme="minorBidi" w:cs="Arial" w:hint="cs"/>
          <w:sz w:val="24"/>
          <w:szCs w:val="24"/>
          <w:rtl/>
        </w:rPr>
        <w:t xml:space="preserve"> עוד בטרם השימוש בו כבר אוסר את המקום </w:t>
      </w:r>
      <w:r w:rsidR="00EF15FF">
        <w:rPr>
          <w:rFonts w:asciiTheme="minorBidi" w:hAnsiTheme="minorBidi" w:cs="Arial" w:hint="cs"/>
          <w:sz w:val="24"/>
          <w:szCs w:val="24"/>
          <w:rtl/>
        </w:rPr>
        <w:t xml:space="preserve">לעניין אמירת קריאת שמע </w:t>
      </w:r>
      <w:r>
        <w:rPr>
          <w:rFonts w:asciiTheme="minorBidi" w:hAnsiTheme="minorBidi" w:cs="Arial" w:hint="cs"/>
          <w:sz w:val="24"/>
          <w:szCs w:val="24"/>
          <w:rtl/>
        </w:rPr>
        <w:t xml:space="preserve">. אדם שאמר על מקום מסויים "זה בית </w:t>
      </w:r>
      <w:proofErr w:type="spellStart"/>
      <w:r>
        <w:rPr>
          <w:rFonts w:asciiTheme="minorBidi" w:hAnsiTheme="minorBidi" w:cs="Arial" w:hint="cs"/>
          <w:sz w:val="24"/>
          <w:szCs w:val="24"/>
          <w:rtl/>
        </w:rPr>
        <w:t>הכסא</w:t>
      </w:r>
      <w:proofErr w:type="spellEnd"/>
      <w:r>
        <w:rPr>
          <w:rFonts w:asciiTheme="minorBidi" w:hAnsiTheme="minorBidi" w:cs="Arial" w:hint="cs"/>
          <w:sz w:val="24"/>
          <w:szCs w:val="24"/>
          <w:rtl/>
        </w:rPr>
        <w:t xml:space="preserve">" והמשיך על מקום סמוך "וזה". האם דין השני גם כן נחשב בית </w:t>
      </w:r>
      <w:proofErr w:type="spellStart"/>
      <w:r>
        <w:rPr>
          <w:rFonts w:asciiTheme="minorBidi" w:hAnsiTheme="minorBidi" w:cs="Arial" w:hint="cs"/>
          <w:sz w:val="24"/>
          <w:szCs w:val="24"/>
          <w:rtl/>
        </w:rPr>
        <w:t>הכסא</w:t>
      </w:r>
      <w:proofErr w:type="spellEnd"/>
      <w:r>
        <w:rPr>
          <w:rFonts w:asciiTheme="minorBidi" w:hAnsiTheme="minorBidi" w:cs="Arial" w:hint="cs"/>
          <w:sz w:val="24"/>
          <w:szCs w:val="24"/>
          <w:rtl/>
        </w:rPr>
        <w:t xml:space="preserve"> או לא?</w:t>
      </w:r>
    </w:p>
    <w:p w:rsidR="00AD4A09" w:rsidRDefault="00EF15FF" w:rsidP="00EF15FF">
      <w:pPr>
        <w:rPr>
          <w:rFonts w:asciiTheme="minorBidi" w:hAnsiTheme="minorBidi" w:cs="Arial"/>
          <w:sz w:val="24"/>
          <w:szCs w:val="24"/>
          <w:rtl/>
        </w:rPr>
      </w:pPr>
      <w:proofErr w:type="spellStart"/>
      <w:r>
        <w:rPr>
          <w:rFonts w:asciiTheme="minorBidi" w:hAnsiTheme="minorBidi" w:cs="Arial" w:hint="cs"/>
          <w:b/>
          <w:bCs/>
          <w:sz w:val="24"/>
          <w:szCs w:val="24"/>
          <w:rtl/>
        </w:rPr>
        <w:t>הר"ן</w:t>
      </w:r>
      <w:proofErr w:type="spellEnd"/>
      <w:r>
        <w:rPr>
          <w:rFonts w:asciiTheme="minorBidi" w:hAnsiTheme="minorBidi" w:cs="Arial" w:hint="cs"/>
          <w:b/>
          <w:bCs/>
          <w:sz w:val="24"/>
          <w:szCs w:val="24"/>
          <w:rtl/>
        </w:rPr>
        <w:t xml:space="preserve"> </w:t>
      </w:r>
      <w:r>
        <w:rPr>
          <w:rFonts w:asciiTheme="minorBidi" w:hAnsiTheme="minorBidi" w:cs="Arial" w:hint="cs"/>
          <w:sz w:val="24"/>
          <w:szCs w:val="24"/>
          <w:rtl/>
        </w:rPr>
        <w:t xml:space="preserve">כותב כי מכיוון שהאיסור לקרוא קריאת שמע במקום בו נמצא בית </w:t>
      </w:r>
      <w:proofErr w:type="spellStart"/>
      <w:r>
        <w:rPr>
          <w:rFonts w:asciiTheme="minorBidi" w:hAnsiTheme="minorBidi" w:cs="Arial" w:hint="cs"/>
          <w:sz w:val="24"/>
          <w:szCs w:val="24"/>
          <w:rtl/>
        </w:rPr>
        <w:t>הכסא</w:t>
      </w:r>
      <w:proofErr w:type="spellEnd"/>
      <w:r>
        <w:rPr>
          <w:rFonts w:asciiTheme="minorBidi" w:hAnsiTheme="minorBidi" w:cs="Arial" w:hint="cs"/>
          <w:sz w:val="24"/>
          <w:szCs w:val="24"/>
          <w:rtl/>
        </w:rPr>
        <w:t xml:space="preserve"> הוא דרבנן, הרי שספק דרבנן </w:t>
      </w:r>
      <w:proofErr w:type="spellStart"/>
      <w:r>
        <w:rPr>
          <w:rFonts w:asciiTheme="minorBidi" w:hAnsiTheme="minorBidi" w:cs="Arial" w:hint="cs"/>
          <w:sz w:val="24"/>
          <w:szCs w:val="24"/>
          <w:rtl/>
        </w:rPr>
        <w:t>לקולא</w:t>
      </w:r>
      <w:proofErr w:type="spellEnd"/>
      <w:r>
        <w:rPr>
          <w:rFonts w:asciiTheme="minorBidi" w:hAnsiTheme="minorBidi" w:cs="Arial" w:hint="cs"/>
          <w:sz w:val="24"/>
          <w:szCs w:val="24"/>
          <w:rtl/>
        </w:rPr>
        <w:t xml:space="preserve"> , והמקום השני אינו בית </w:t>
      </w:r>
      <w:proofErr w:type="spellStart"/>
      <w:r>
        <w:rPr>
          <w:rFonts w:asciiTheme="minorBidi" w:hAnsiTheme="minorBidi" w:cs="Arial" w:hint="cs"/>
          <w:sz w:val="24"/>
          <w:szCs w:val="24"/>
          <w:rtl/>
        </w:rPr>
        <w:t>הכסא</w:t>
      </w:r>
      <w:proofErr w:type="spellEnd"/>
      <w:r>
        <w:rPr>
          <w:rFonts w:asciiTheme="minorBidi" w:hAnsiTheme="minorBidi" w:cs="Arial" w:hint="cs"/>
          <w:sz w:val="24"/>
          <w:szCs w:val="24"/>
          <w:rtl/>
        </w:rPr>
        <w:t xml:space="preserve">. </w:t>
      </w:r>
    </w:p>
    <w:p w:rsidR="00EF15FF" w:rsidRDefault="00EF15FF" w:rsidP="00AD4A09">
      <w:pPr>
        <w:rPr>
          <w:rFonts w:asciiTheme="minorBidi" w:hAnsiTheme="minorBidi" w:cs="Arial"/>
          <w:sz w:val="24"/>
          <w:szCs w:val="24"/>
          <w:rtl/>
        </w:rPr>
      </w:pPr>
      <w:r>
        <w:rPr>
          <w:rFonts w:asciiTheme="minorBidi" w:hAnsiTheme="minorBidi" w:cs="Arial" w:hint="cs"/>
          <w:b/>
          <w:bCs/>
          <w:sz w:val="24"/>
          <w:szCs w:val="24"/>
          <w:rtl/>
        </w:rPr>
        <w:t>הרמב"ם (</w:t>
      </w:r>
      <w:r w:rsidRPr="00EF15FF">
        <w:rPr>
          <w:rFonts w:asciiTheme="minorBidi" w:hAnsiTheme="minorBidi" w:cs="Arial" w:hint="cs"/>
          <w:sz w:val="24"/>
          <w:szCs w:val="24"/>
          <w:rtl/>
        </w:rPr>
        <w:t xml:space="preserve">הלכות קריאת שמע, </w:t>
      </w:r>
      <w:proofErr w:type="spellStart"/>
      <w:r w:rsidRPr="00EF15FF">
        <w:rPr>
          <w:rFonts w:asciiTheme="minorBidi" w:hAnsiTheme="minorBidi" w:cs="Arial" w:hint="cs"/>
          <w:sz w:val="24"/>
          <w:szCs w:val="24"/>
          <w:rtl/>
        </w:rPr>
        <w:t>ג,ג</w:t>
      </w:r>
      <w:proofErr w:type="spellEnd"/>
      <w:r w:rsidRPr="00EF15FF">
        <w:rPr>
          <w:rFonts w:asciiTheme="minorBidi" w:hAnsiTheme="minorBidi" w:cs="Arial" w:hint="cs"/>
          <w:sz w:val="24"/>
          <w:szCs w:val="24"/>
          <w:rtl/>
        </w:rPr>
        <w:t xml:space="preserve"> )</w:t>
      </w:r>
      <w:r>
        <w:rPr>
          <w:rFonts w:asciiTheme="minorBidi" w:hAnsiTheme="minorBidi" w:cs="Arial" w:hint="cs"/>
          <w:b/>
          <w:bCs/>
          <w:sz w:val="24"/>
          <w:szCs w:val="24"/>
          <w:rtl/>
        </w:rPr>
        <w:t xml:space="preserve"> </w:t>
      </w:r>
      <w:r>
        <w:rPr>
          <w:rFonts w:asciiTheme="minorBidi" w:hAnsiTheme="minorBidi" w:cs="Arial" w:hint="cs"/>
          <w:sz w:val="24"/>
          <w:szCs w:val="24"/>
          <w:rtl/>
        </w:rPr>
        <w:t xml:space="preserve">פוסק </w:t>
      </w:r>
      <w:proofErr w:type="spellStart"/>
      <w:r>
        <w:rPr>
          <w:rFonts w:asciiTheme="minorBidi" w:hAnsiTheme="minorBidi" w:cs="Arial" w:hint="cs"/>
          <w:sz w:val="24"/>
          <w:szCs w:val="24"/>
          <w:rtl/>
        </w:rPr>
        <w:t>לחומרא</w:t>
      </w:r>
      <w:proofErr w:type="spellEnd"/>
      <w:r>
        <w:rPr>
          <w:rFonts w:asciiTheme="minorBidi" w:hAnsiTheme="minorBidi" w:cs="Arial" w:hint="cs"/>
          <w:sz w:val="24"/>
          <w:szCs w:val="24"/>
          <w:rtl/>
        </w:rPr>
        <w:t xml:space="preserve"> , כלומר אין לקרוא במקום השני קריאת שמע לכתחילה ואם קרא יצא בדיעבד. וכן פסק </w:t>
      </w:r>
      <w:r w:rsidRPr="00EF15FF">
        <w:rPr>
          <w:rFonts w:asciiTheme="minorBidi" w:hAnsiTheme="minorBidi" w:cs="Arial" w:hint="cs"/>
          <w:b/>
          <w:bCs/>
          <w:sz w:val="24"/>
          <w:szCs w:val="24"/>
          <w:rtl/>
        </w:rPr>
        <w:t>מרן בשולחן ערוך</w:t>
      </w:r>
      <w:r>
        <w:rPr>
          <w:rFonts w:asciiTheme="minorBidi" w:hAnsiTheme="minorBidi" w:cs="Arial" w:hint="cs"/>
          <w:sz w:val="24"/>
          <w:szCs w:val="24"/>
          <w:rtl/>
        </w:rPr>
        <w:t xml:space="preserve"> (אורח חיים פג, ג)</w:t>
      </w:r>
    </w:p>
    <w:p w:rsidR="00EF15FF" w:rsidRPr="00EF15FF" w:rsidRDefault="00EF15FF" w:rsidP="00AD4A09">
      <w:pPr>
        <w:rPr>
          <w:rFonts w:asciiTheme="minorBidi" w:hAnsiTheme="minorBidi" w:cs="Arial"/>
          <w:sz w:val="24"/>
          <w:szCs w:val="24"/>
          <w:rtl/>
        </w:rPr>
      </w:pPr>
    </w:p>
    <w:p w:rsidR="0087618E" w:rsidRDefault="0087618E" w:rsidP="00ED1767">
      <w:pPr>
        <w:rPr>
          <w:rFonts w:asciiTheme="minorBidi" w:hAnsiTheme="minorBidi" w:cs="Arial"/>
          <w:sz w:val="24"/>
          <w:szCs w:val="24"/>
          <w:rtl/>
        </w:rPr>
      </w:pPr>
      <w:bookmarkStart w:id="0" w:name="_GoBack"/>
      <w:bookmarkEnd w:id="0"/>
    </w:p>
    <w:p w:rsidR="00C7188F" w:rsidRPr="00C7188F" w:rsidRDefault="00C7188F" w:rsidP="00ED1767">
      <w:pPr>
        <w:rPr>
          <w:rFonts w:asciiTheme="minorBidi" w:hAnsiTheme="minorBidi" w:cs="Arial"/>
          <w:sz w:val="24"/>
          <w:szCs w:val="24"/>
          <w:rtl/>
        </w:rPr>
      </w:pPr>
    </w:p>
    <w:p w:rsidR="005A76C8" w:rsidRPr="005A76C8" w:rsidRDefault="005A76C8" w:rsidP="00ED1767">
      <w:pPr>
        <w:rPr>
          <w:rFonts w:asciiTheme="minorBidi" w:hAnsiTheme="minorBidi" w:cs="Arial"/>
          <w:b/>
          <w:bCs/>
          <w:sz w:val="28"/>
          <w:szCs w:val="28"/>
          <w:rtl/>
        </w:rPr>
      </w:pPr>
    </w:p>
    <w:p w:rsidR="00800399" w:rsidRDefault="00800399" w:rsidP="00C303CE">
      <w:pPr>
        <w:rPr>
          <w:rFonts w:asciiTheme="minorBidi" w:hAnsiTheme="minorBidi" w:cs="Arial"/>
          <w:sz w:val="24"/>
          <w:szCs w:val="24"/>
          <w:rtl/>
        </w:rPr>
      </w:pPr>
    </w:p>
    <w:p w:rsidR="00B64CB2" w:rsidRPr="00B64CB2" w:rsidRDefault="00B64CB2" w:rsidP="00C303CE">
      <w:pPr>
        <w:rPr>
          <w:rFonts w:asciiTheme="minorBidi" w:hAnsiTheme="minorBidi" w:cs="Arial"/>
          <w:sz w:val="24"/>
          <w:szCs w:val="24"/>
          <w:rtl/>
        </w:rPr>
      </w:pPr>
    </w:p>
    <w:p w:rsidR="00C303CE" w:rsidRPr="00C303CE" w:rsidRDefault="00C303CE" w:rsidP="00C303CE">
      <w:pPr>
        <w:rPr>
          <w:rFonts w:asciiTheme="minorBidi" w:hAnsiTheme="minorBidi" w:cs="Arial"/>
          <w:sz w:val="24"/>
          <w:szCs w:val="24"/>
          <w:rtl/>
        </w:rPr>
      </w:pPr>
    </w:p>
    <w:p w:rsidR="00C303CE" w:rsidRPr="00C303CE" w:rsidRDefault="00C303CE" w:rsidP="00C303CE">
      <w:pPr>
        <w:rPr>
          <w:rFonts w:asciiTheme="minorBidi" w:hAnsiTheme="minorBidi"/>
          <w:sz w:val="24"/>
          <w:szCs w:val="24"/>
        </w:rPr>
      </w:pPr>
    </w:p>
    <w:sectPr w:rsidR="00C303CE" w:rsidRPr="00C303CE" w:rsidSect="00905C5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6CF" w:rsidRDefault="003F16CF" w:rsidP="00C303CE">
      <w:pPr>
        <w:spacing w:after="0" w:line="240" w:lineRule="auto"/>
      </w:pPr>
      <w:r>
        <w:separator/>
      </w:r>
    </w:p>
  </w:endnote>
  <w:endnote w:type="continuationSeparator" w:id="0">
    <w:p w:rsidR="003F16CF" w:rsidRDefault="003F16CF" w:rsidP="00C30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6CF" w:rsidRDefault="003F16CF" w:rsidP="00C303CE">
      <w:pPr>
        <w:spacing w:after="0" w:line="240" w:lineRule="auto"/>
      </w:pPr>
      <w:r>
        <w:separator/>
      </w:r>
    </w:p>
  </w:footnote>
  <w:footnote w:type="continuationSeparator" w:id="0">
    <w:p w:rsidR="003F16CF" w:rsidRDefault="003F16CF" w:rsidP="00C303CE">
      <w:pPr>
        <w:spacing w:after="0" w:line="240" w:lineRule="auto"/>
      </w:pPr>
      <w:r>
        <w:continuationSeparator/>
      </w:r>
    </w:p>
  </w:footnote>
  <w:footnote w:id="1">
    <w:p w:rsidR="00C303CE" w:rsidRDefault="00C303CE">
      <w:pPr>
        <w:pStyle w:val="a3"/>
      </w:pPr>
      <w:r>
        <w:rPr>
          <w:rStyle w:val="a5"/>
        </w:rPr>
        <w:footnoteRef/>
      </w:r>
      <w:r>
        <w:rPr>
          <w:rtl/>
        </w:rPr>
        <w:t xml:space="preserve"> </w:t>
      </w:r>
      <w:r>
        <w:rPr>
          <w:rFonts w:hint="cs"/>
          <w:rtl/>
        </w:rPr>
        <w:t>הרמב"ם לא הזכיר בפירוש את המילה "חזאי" אבל מדבריו הסיקו נושאי כליו שלכך התכוון.</w:t>
      </w:r>
    </w:p>
  </w:footnote>
  <w:footnote w:id="2">
    <w:p w:rsidR="00C303CE" w:rsidRDefault="00C303CE">
      <w:pPr>
        <w:pStyle w:val="a3"/>
        <w:rPr>
          <w:rtl/>
        </w:rPr>
      </w:pPr>
      <w:r>
        <w:rPr>
          <w:rStyle w:val="a5"/>
        </w:rPr>
        <w:footnoteRef/>
      </w:r>
      <w:r>
        <w:rPr>
          <w:rtl/>
        </w:rPr>
        <w:t xml:space="preserve"> </w:t>
      </w:r>
      <w:r>
        <w:rPr>
          <w:rFonts w:hint="cs"/>
          <w:rtl/>
        </w:rPr>
        <w:t xml:space="preserve">הרי אם נתן לכל אחת פרוטה ואמר לאחת הרי את מקודשת לי </w:t>
      </w:r>
      <w:proofErr w:type="spellStart"/>
      <w:r>
        <w:rPr>
          <w:rFonts w:hint="cs"/>
          <w:rtl/>
        </w:rPr>
        <w:t>ולשניה</w:t>
      </w:r>
      <w:proofErr w:type="spellEnd"/>
      <w:r>
        <w:rPr>
          <w:rFonts w:hint="cs"/>
          <w:rtl/>
        </w:rPr>
        <w:t xml:space="preserve"> "ואת" ולקחה את הפרוטה שלה ודאי שהיא מקודשת כמו שנאמר לעיל. כל הסוגיה היא כאשר נתן שתי פרוטות לראשונה אחת עבורה ואחת שתהיה שליחה עבור </w:t>
      </w:r>
      <w:proofErr w:type="spellStart"/>
      <w:r>
        <w:rPr>
          <w:rFonts w:hint="cs"/>
          <w:rtl/>
        </w:rPr>
        <w:t>השניה</w:t>
      </w:r>
      <w:proofErr w:type="spellEnd"/>
      <w:r>
        <w:rPr>
          <w:rFonts w:hint="cs"/>
          <w:rtl/>
        </w:rPr>
        <w:t>.</w:t>
      </w:r>
    </w:p>
  </w:footnote>
  <w:footnote w:id="3">
    <w:p w:rsidR="003A7DCB" w:rsidRDefault="003A7DCB">
      <w:pPr>
        <w:pStyle w:val="a3"/>
        <w:rPr>
          <w:rFonts w:hint="cs"/>
        </w:rPr>
      </w:pPr>
      <w:r>
        <w:rPr>
          <w:rStyle w:val="a5"/>
        </w:rPr>
        <w:footnoteRef/>
      </w:r>
      <w:r>
        <w:rPr>
          <w:rtl/>
        </w:rPr>
        <w:t xml:space="preserve"> </w:t>
      </w:r>
      <w:r>
        <w:rPr>
          <w:rFonts w:hint="cs"/>
          <w:rtl/>
        </w:rPr>
        <w:t xml:space="preserve">הרב אליקים </w:t>
      </w:r>
      <w:proofErr w:type="spellStart"/>
      <w:r>
        <w:rPr>
          <w:rFonts w:hint="cs"/>
          <w:rtl/>
        </w:rPr>
        <w:t>גאטניו</w:t>
      </w:r>
      <w:proofErr w:type="spellEnd"/>
      <w:r>
        <w:rPr>
          <w:rFonts w:hint="cs"/>
          <w:rtl/>
        </w:rPr>
        <w:t>. דיין באיזמיר, תורכיה. נפטר 1795</w:t>
      </w:r>
    </w:p>
  </w:footnote>
  <w:footnote w:id="4">
    <w:p w:rsidR="00440498" w:rsidRDefault="00440498" w:rsidP="00440498">
      <w:pPr>
        <w:pStyle w:val="a3"/>
        <w:rPr>
          <w:rFonts w:hint="cs"/>
        </w:rPr>
      </w:pPr>
      <w:r>
        <w:rPr>
          <w:rStyle w:val="a5"/>
        </w:rPr>
        <w:footnoteRef/>
      </w:r>
      <w:r>
        <w:rPr>
          <w:rtl/>
        </w:rPr>
        <w:t xml:space="preserve"> </w:t>
      </w:r>
      <w:proofErr w:type="spellStart"/>
      <w:r>
        <w:rPr>
          <w:rFonts w:cs="Arial"/>
          <w:rtl/>
        </w:rPr>
        <w:t>כ</w:t>
      </w:r>
      <w:r>
        <w:rPr>
          <w:rFonts w:cs="Arial"/>
          <w:rtl/>
        </w:rPr>
        <w:t>ֽי־תִדֹּ֥ר</w:t>
      </w:r>
      <w:proofErr w:type="spellEnd"/>
      <w:r>
        <w:rPr>
          <w:rFonts w:cs="Arial"/>
          <w:rtl/>
        </w:rPr>
        <w:t xml:space="preserve"> נֶ֙דֶר֙ לַיקֹוָ֣ק </w:t>
      </w:r>
      <w:proofErr w:type="spellStart"/>
      <w:r>
        <w:rPr>
          <w:rFonts w:cs="Arial"/>
          <w:rtl/>
        </w:rPr>
        <w:t>אֱלֹהֶ֔יך</w:t>
      </w:r>
      <w:proofErr w:type="spellEnd"/>
      <w:r>
        <w:rPr>
          <w:rFonts w:cs="Arial"/>
          <w:rtl/>
        </w:rPr>
        <w:t xml:space="preserve">ָ לֹ֥א תְאַחֵ֖ר לְשַׁלְּמ֑וֹ </w:t>
      </w:r>
      <w:proofErr w:type="spellStart"/>
      <w:r>
        <w:rPr>
          <w:rFonts w:cs="Arial"/>
          <w:rtl/>
        </w:rPr>
        <w:t>כִּֽי־דָרֹ֨ש</w:t>
      </w:r>
      <w:proofErr w:type="spellEnd"/>
      <w:r>
        <w:rPr>
          <w:rFonts w:cs="Arial"/>
          <w:rtl/>
        </w:rPr>
        <w:t xml:space="preserve">ׁ </w:t>
      </w:r>
      <w:proofErr w:type="spellStart"/>
      <w:r>
        <w:rPr>
          <w:rFonts w:cs="Arial"/>
          <w:rtl/>
        </w:rPr>
        <w:t>יִדְרְשֶׁ֜נּו</w:t>
      </w:r>
      <w:proofErr w:type="spellEnd"/>
      <w:r>
        <w:rPr>
          <w:rFonts w:cs="Arial"/>
          <w:rtl/>
        </w:rPr>
        <w:t xml:space="preserve">ּ </w:t>
      </w:r>
      <w:proofErr w:type="spellStart"/>
      <w:r>
        <w:rPr>
          <w:rFonts w:cs="Arial"/>
          <w:rtl/>
        </w:rPr>
        <w:t>יְקֹוָ֤ק</w:t>
      </w:r>
      <w:proofErr w:type="spellEnd"/>
      <w:r>
        <w:rPr>
          <w:rFonts w:cs="Arial"/>
          <w:rtl/>
        </w:rPr>
        <w:t xml:space="preserve"> </w:t>
      </w:r>
      <w:proofErr w:type="spellStart"/>
      <w:r>
        <w:rPr>
          <w:rFonts w:cs="Arial"/>
          <w:rtl/>
        </w:rPr>
        <w:t>אֱלֹהֶ֨יך</w:t>
      </w:r>
      <w:proofErr w:type="spellEnd"/>
      <w:r>
        <w:rPr>
          <w:rFonts w:cs="Arial"/>
          <w:rtl/>
        </w:rPr>
        <w:t>ָ מֵֽעִמָּ֔ךְ וְהָיָ֥ה בְךָ֖ חֵֽטְא:</w:t>
      </w:r>
    </w:p>
  </w:footnote>
  <w:footnote w:id="5">
    <w:p w:rsidR="00C7188F" w:rsidRDefault="00C7188F">
      <w:pPr>
        <w:pStyle w:val="a3"/>
      </w:pPr>
      <w:r>
        <w:rPr>
          <w:rStyle w:val="a5"/>
        </w:rPr>
        <w:footnoteRef/>
      </w:r>
      <w:r>
        <w:rPr>
          <w:rtl/>
        </w:rPr>
        <w:t xml:space="preserve"> </w:t>
      </w:r>
      <w:r>
        <w:rPr>
          <w:rFonts w:hint="cs"/>
          <w:rtl/>
        </w:rPr>
        <w:t xml:space="preserve">ישנה מחלוקת ראשונים ואחרונים מה ההשלכה של הפסיקה "ספק הפקר". דעת </w:t>
      </w:r>
      <w:proofErr w:type="spellStart"/>
      <w:r w:rsidRPr="0087618E">
        <w:rPr>
          <w:rFonts w:hint="cs"/>
          <w:b/>
          <w:bCs/>
          <w:rtl/>
        </w:rPr>
        <w:t>הר"ן</w:t>
      </w:r>
      <w:proofErr w:type="spellEnd"/>
      <w:r>
        <w:rPr>
          <w:rFonts w:hint="cs"/>
          <w:rtl/>
        </w:rPr>
        <w:t xml:space="preserve"> כי החפץ נשאר ביד הבעלים . </w:t>
      </w:r>
      <w:r w:rsidR="0087618E">
        <w:rPr>
          <w:rFonts w:hint="cs"/>
          <w:rtl/>
        </w:rPr>
        <w:t xml:space="preserve">וכן כתב </w:t>
      </w:r>
      <w:proofErr w:type="spellStart"/>
      <w:r w:rsidR="0087618E" w:rsidRPr="0087618E">
        <w:rPr>
          <w:rFonts w:hint="cs"/>
          <w:b/>
          <w:bCs/>
          <w:rtl/>
        </w:rPr>
        <w:t>הסמ"ע</w:t>
      </w:r>
      <w:proofErr w:type="spellEnd"/>
      <w:r w:rsidR="0087618E">
        <w:rPr>
          <w:rFonts w:hint="cs"/>
          <w:rtl/>
        </w:rPr>
        <w:t xml:space="preserve"> (</w:t>
      </w:r>
      <w:proofErr w:type="spellStart"/>
      <w:r w:rsidR="0087618E">
        <w:rPr>
          <w:rFonts w:hint="cs"/>
          <w:rtl/>
        </w:rPr>
        <w:t>חו"מ</w:t>
      </w:r>
      <w:proofErr w:type="spellEnd"/>
      <w:r w:rsidR="0087618E">
        <w:rPr>
          <w:rFonts w:hint="cs"/>
          <w:rtl/>
        </w:rPr>
        <w:t xml:space="preserve"> </w:t>
      </w:r>
      <w:proofErr w:type="spellStart"/>
      <w:r w:rsidR="0087618E">
        <w:rPr>
          <w:rFonts w:hint="cs"/>
          <w:rtl/>
        </w:rPr>
        <w:t>רעג</w:t>
      </w:r>
      <w:proofErr w:type="spellEnd"/>
      <w:r w:rsidR="0087618E">
        <w:rPr>
          <w:rFonts w:hint="cs"/>
          <w:rtl/>
        </w:rPr>
        <w:t xml:space="preserve">, </w:t>
      </w:r>
      <w:proofErr w:type="spellStart"/>
      <w:r w:rsidR="0087618E">
        <w:rPr>
          <w:rFonts w:hint="cs"/>
          <w:rtl/>
        </w:rPr>
        <w:t>ס"ק</w:t>
      </w:r>
      <w:proofErr w:type="spellEnd"/>
      <w:r w:rsidR="0087618E">
        <w:rPr>
          <w:rFonts w:hint="cs"/>
          <w:rtl/>
        </w:rPr>
        <w:t xml:space="preserve"> </w:t>
      </w:r>
      <w:proofErr w:type="spellStart"/>
      <w:r w:rsidR="0087618E">
        <w:rPr>
          <w:rFonts w:hint="cs"/>
          <w:rtl/>
        </w:rPr>
        <w:t>יב</w:t>
      </w:r>
      <w:proofErr w:type="spellEnd"/>
      <w:r w:rsidR="0087618E">
        <w:rPr>
          <w:rFonts w:hint="cs"/>
          <w:rtl/>
        </w:rPr>
        <w:t xml:space="preserve">). בדעת </w:t>
      </w:r>
      <w:proofErr w:type="spellStart"/>
      <w:r w:rsidR="0087618E" w:rsidRPr="00185E02">
        <w:rPr>
          <w:rFonts w:hint="cs"/>
          <w:b/>
          <w:bCs/>
          <w:rtl/>
        </w:rPr>
        <w:t>הרא"ש</w:t>
      </w:r>
      <w:proofErr w:type="spellEnd"/>
      <w:r w:rsidR="0087618E">
        <w:rPr>
          <w:rFonts w:hint="cs"/>
          <w:rtl/>
        </w:rPr>
        <w:t xml:space="preserve"> יש לכאורה סתירה מה הדין אם תפס אדם אחר את </w:t>
      </w:r>
      <w:r w:rsidR="00185E02">
        <w:rPr>
          <w:rFonts w:hint="cs"/>
          <w:rtl/>
        </w:rPr>
        <w:t xml:space="preserve">החפץ הנתון בספק. </w:t>
      </w:r>
    </w:p>
  </w:footnote>
  <w:footnote w:id="6">
    <w:p w:rsidR="0087618E" w:rsidRDefault="0087618E">
      <w:pPr>
        <w:pStyle w:val="a3"/>
      </w:pPr>
      <w:r>
        <w:rPr>
          <w:rStyle w:val="a5"/>
        </w:rPr>
        <w:footnoteRef/>
      </w:r>
      <w:r>
        <w:rPr>
          <w:rtl/>
        </w:rPr>
        <w:t xml:space="preserve"> </w:t>
      </w:r>
      <w:r>
        <w:rPr>
          <w:rFonts w:hint="cs"/>
          <w:rtl/>
        </w:rPr>
        <w:t xml:space="preserve">י יש להקשות הרי </w:t>
      </w:r>
      <w:proofErr w:type="spellStart"/>
      <w:r>
        <w:rPr>
          <w:rFonts w:hint="cs"/>
          <w:rtl/>
        </w:rPr>
        <w:t>הרדב"ז</w:t>
      </w:r>
      <w:proofErr w:type="spellEnd"/>
      <w:r>
        <w:rPr>
          <w:rFonts w:hint="cs"/>
          <w:rtl/>
        </w:rPr>
        <w:t xml:space="preserve"> עצמו כתב כי בפאה הרמב"ם החמיר כי מתנות עניים לדעתו דינם כהקדש מאחר שנלמדות מאותו פסוק,  ואם כן איך כתב כאן כי הפקר נלמד מפאה , הרי הפקר אינו מתנות עניים.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659"/>
    <w:rsid w:val="000B0849"/>
    <w:rsid w:val="000F60F7"/>
    <w:rsid w:val="00156822"/>
    <w:rsid w:val="00185E02"/>
    <w:rsid w:val="003A7DCB"/>
    <w:rsid w:val="003F16CF"/>
    <w:rsid w:val="00405289"/>
    <w:rsid w:val="00440498"/>
    <w:rsid w:val="005A76C8"/>
    <w:rsid w:val="006C3659"/>
    <w:rsid w:val="006F7A21"/>
    <w:rsid w:val="00800399"/>
    <w:rsid w:val="0087618E"/>
    <w:rsid w:val="00905C59"/>
    <w:rsid w:val="00A5588A"/>
    <w:rsid w:val="00AD4A09"/>
    <w:rsid w:val="00B52EEF"/>
    <w:rsid w:val="00B64CB2"/>
    <w:rsid w:val="00B65D8C"/>
    <w:rsid w:val="00BB545D"/>
    <w:rsid w:val="00C303CE"/>
    <w:rsid w:val="00C7188F"/>
    <w:rsid w:val="00D00373"/>
    <w:rsid w:val="00DC604C"/>
    <w:rsid w:val="00E648F9"/>
    <w:rsid w:val="00EA594F"/>
    <w:rsid w:val="00ED1767"/>
    <w:rsid w:val="00EF15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88F6C"/>
  <w15:chartTrackingRefBased/>
  <w15:docId w15:val="{AFCCD5A0-350A-45D0-BA6D-40C1BE1C7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C303CE"/>
    <w:pPr>
      <w:spacing w:after="0" w:line="240" w:lineRule="auto"/>
    </w:pPr>
    <w:rPr>
      <w:sz w:val="20"/>
      <w:szCs w:val="20"/>
    </w:rPr>
  </w:style>
  <w:style w:type="character" w:customStyle="1" w:styleId="a4">
    <w:name w:val="טקסט הערת שוליים תו"/>
    <w:basedOn w:val="a0"/>
    <w:link w:val="a3"/>
    <w:uiPriority w:val="99"/>
    <w:semiHidden/>
    <w:rsid w:val="00C303CE"/>
    <w:rPr>
      <w:sz w:val="20"/>
      <w:szCs w:val="20"/>
    </w:rPr>
  </w:style>
  <w:style w:type="character" w:styleId="a5">
    <w:name w:val="footnote reference"/>
    <w:basedOn w:val="a0"/>
    <w:uiPriority w:val="99"/>
    <w:semiHidden/>
    <w:unhideWhenUsed/>
    <w:rsid w:val="00C303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F4704-A96D-4297-A6C5-F608EC072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4</Pages>
  <Words>1066</Words>
  <Characters>5331</Characters>
  <Application>Microsoft Office Word</Application>
  <DocSecurity>0</DocSecurity>
  <Lines>44</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dcterms:created xsi:type="dcterms:W3CDTF">2024-01-08T09:29:00Z</dcterms:created>
  <dcterms:modified xsi:type="dcterms:W3CDTF">2024-01-09T06:30:00Z</dcterms:modified>
</cp:coreProperties>
</file>