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9195ED" w14:textId="77777777" w:rsidR="00063EA9" w:rsidRDefault="00063EA9">
      <w:pPr>
        <w:pStyle w:val="2"/>
        <w:ind w:firstLine="284"/>
        <w:rPr>
          <w:rFonts w:hint="cs"/>
          <w:rtl/>
        </w:rPr>
      </w:pPr>
      <w:bookmarkStart w:id="0" w:name="_GoBack"/>
      <w:bookmarkEnd w:id="0"/>
      <w:r>
        <w:rPr>
          <w:rFonts w:hint="cs"/>
          <w:rtl/>
        </w:rPr>
        <w:t xml:space="preserve">דף יא, א (פ"א מ"ג): </w:t>
      </w:r>
      <w:r>
        <w:rPr>
          <w:rtl/>
        </w:rPr>
        <w:t xml:space="preserve">ולא יפלה את </w:t>
      </w:r>
      <w:r>
        <w:rPr>
          <w:rFonts w:hint="cs"/>
          <w:rtl/>
        </w:rPr>
        <w:t>כליו</w:t>
      </w:r>
      <w:r>
        <w:rPr>
          <w:rtl/>
        </w:rPr>
        <w:t xml:space="preserve"> ולא יקרא לאור הנר</w:t>
      </w:r>
    </w:p>
    <w:p w14:paraId="77314C95" w14:textId="77777777" w:rsidR="00063EA9" w:rsidRDefault="00063EA9">
      <w:pPr>
        <w:ind w:firstLine="284"/>
        <w:rPr>
          <w:rFonts w:hint="cs"/>
          <w:rtl/>
        </w:rPr>
      </w:pPr>
      <w:r>
        <w:rPr>
          <w:rFonts w:hint="cs"/>
          <w:rtl/>
        </w:rPr>
        <w:t>שנינו:</w:t>
      </w:r>
      <w:r>
        <w:rPr>
          <w:rtl/>
        </w:rPr>
        <w:t xml:space="preserve"> </w:t>
      </w:r>
      <w:r>
        <w:rPr>
          <w:rFonts w:hint="cs"/>
          <w:rtl/>
        </w:rPr>
        <w:t>"</w:t>
      </w:r>
      <w:r>
        <w:rPr>
          <w:rtl/>
        </w:rPr>
        <w:t xml:space="preserve">ולא יפלה את </w:t>
      </w:r>
      <w:r>
        <w:rPr>
          <w:rFonts w:hint="cs"/>
          <w:rtl/>
        </w:rPr>
        <w:t>כליו</w:t>
      </w:r>
      <w:r>
        <w:rPr>
          <w:rtl/>
        </w:rPr>
        <w:t xml:space="preserve"> ולא יקרא לאור הנר</w:t>
      </w:r>
      <w:r>
        <w:rPr>
          <w:rFonts w:hint="cs"/>
          <w:rtl/>
        </w:rPr>
        <w:t>"</w:t>
      </w:r>
      <w:r>
        <w:rPr>
          <w:rtl/>
        </w:rPr>
        <w:t>.</w:t>
      </w:r>
      <w:r>
        <w:rPr>
          <w:rFonts w:hint="cs"/>
          <w:rtl/>
        </w:rPr>
        <w:t xml:space="preserve"> נפתח בפירושו של הפֹעַל "יפלה", נעבור לניקודו, ונסיים בשאלת תחביר משפט זה ופיסוקו.</w:t>
      </w:r>
    </w:p>
    <w:p w14:paraId="3953E5C4" w14:textId="77777777" w:rsidR="00063EA9" w:rsidRDefault="00063EA9">
      <w:pPr>
        <w:ind w:firstLine="284"/>
        <w:rPr>
          <w:rFonts w:hint="cs"/>
          <w:rtl/>
        </w:rPr>
      </w:pPr>
      <w:r>
        <w:rPr>
          <w:rFonts w:hint="cs"/>
          <w:rtl/>
        </w:rPr>
        <w:t>מה פירוש "</w:t>
      </w:r>
      <w:r>
        <w:rPr>
          <w:rtl/>
        </w:rPr>
        <w:t xml:space="preserve">לא יפלה את </w:t>
      </w:r>
      <w:r>
        <w:rPr>
          <w:rFonts w:hint="cs"/>
          <w:rtl/>
        </w:rPr>
        <w:t>כליו"?</w:t>
      </w:r>
    </w:p>
    <w:p w14:paraId="62A270EF" w14:textId="77777777" w:rsidR="00063EA9" w:rsidRDefault="00063EA9">
      <w:pPr>
        <w:ind w:firstLine="284"/>
        <w:rPr>
          <w:rFonts w:hint="cs"/>
          <w:rtl/>
        </w:rPr>
      </w:pPr>
      <w:r>
        <w:rPr>
          <w:rtl/>
        </w:rPr>
        <w:t>רש"י מפרש: "ולא יפלה את כֵּליו. מְבַעֵר כִּנים מבגדיו</w:t>
      </w:r>
      <w:r>
        <w:rPr>
          <w:rStyle w:val="a6"/>
          <w:rtl/>
        </w:rPr>
        <w:footnoteReference w:id="1"/>
      </w:r>
      <w:r>
        <w:rPr>
          <w:rFonts w:hint="cs"/>
          <w:rtl/>
        </w:rPr>
        <w:t>, דמתרגמינן (</w:t>
      </w:r>
      <w:r>
        <w:rPr>
          <w:rFonts w:hint="cs"/>
          <w:sz w:val="18"/>
          <w:szCs w:val="20"/>
          <w:rtl/>
        </w:rPr>
        <w:t>ת"א לדברים כו, יג</w:t>
      </w:r>
      <w:r>
        <w:rPr>
          <w:rFonts w:hint="cs"/>
          <w:rtl/>
        </w:rPr>
        <w:t xml:space="preserve">): בִּעַרְתִּי - פַּלֵּתִי". את "יפלה" של המשנה ממיר רש"י ב"יבער" שפירושו: יוציא, יסַלֵּק (כמו הוצאת חמץ מרשותו, וכמו ביעור מעשרות, שמִתרגום אונקלוס שם מביא רש"י ראייה). </w:t>
      </w:r>
      <w:r>
        <w:rPr>
          <w:rtl/>
        </w:rPr>
        <w:t>לעומת זאת, מפרשים הערוך והרמב"ם: "יבדוק בגדיו מהכִּנים"</w:t>
      </w:r>
      <w:r>
        <w:rPr>
          <w:rStyle w:val="a6"/>
          <w:rtl/>
        </w:rPr>
        <w:footnoteReference w:id="2"/>
      </w:r>
      <w:r>
        <w:rPr>
          <w:rFonts w:hint="cs"/>
          <w:rtl/>
        </w:rPr>
        <w:t>. האם הניסוח השונה של רש"י ורמב"ם מצביע על מחלוקת ביניהם?</w:t>
      </w:r>
    </w:p>
    <w:p w14:paraId="0CD36DC6" w14:textId="77777777" w:rsidR="00063EA9" w:rsidRDefault="00063EA9">
      <w:pPr>
        <w:ind w:firstLine="284"/>
        <w:rPr>
          <w:rFonts w:hint="cs"/>
          <w:rtl/>
        </w:rPr>
      </w:pPr>
      <w:r>
        <w:rPr>
          <w:rtl/>
        </w:rPr>
        <w:lastRenderedPageBreak/>
        <w:t>נראה שלדברי הכל הענין הוא אחד</w:t>
      </w:r>
      <w:r>
        <w:rPr>
          <w:rStyle w:val="a6"/>
          <w:rtl/>
        </w:rPr>
        <w:footnoteReference w:id="3"/>
      </w:r>
      <w:r>
        <w:rPr>
          <w:rFonts w:hint="cs"/>
          <w:rtl/>
        </w:rPr>
        <w:t xml:space="preserve">: מדובר על מי שבודק את בגדיו לוודא שהם נקיים מכִּנים, ואם ימצא בהם כִּנים - הוא יסלֵק אותם מהבגד. כלומר, נעשות כאן שתי פעולות: </w:t>
      </w:r>
      <w:r>
        <w:rPr>
          <w:rFonts w:hint="cs"/>
          <w:b/>
          <w:bCs/>
          <w:rtl/>
        </w:rPr>
        <w:t xml:space="preserve">א'. </w:t>
      </w:r>
      <w:r>
        <w:rPr>
          <w:rFonts w:hint="cs"/>
          <w:rtl/>
        </w:rPr>
        <w:t xml:space="preserve">בדיקה של הבגד, </w:t>
      </w:r>
      <w:r>
        <w:rPr>
          <w:rFonts w:hint="cs"/>
          <w:b/>
          <w:bCs/>
          <w:rtl/>
        </w:rPr>
        <w:t xml:space="preserve">ב'. </w:t>
      </w:r>
      <w:r>
        <w:rPr>
          <w:rFonts w:hint="cs"/>
          <w:rtl/>
        </w:rPr>
        <w:t xml:space="preserve">סילוק של הכִּנים. </w:t>
      </w:r>
    </w:p>
    <w:p w14:paraId="2626FC74" w14:textId="77777777" w:rsidR="00063EA9" w:rsidRDefault="00063EA9">
      <w:pPr>
        <w:ind w:firstLine="284"/>
        <w:rPr>
          <w:rFonts w:hint="cs"/>
          <w:rtl/>
        </w:rPr>
      </w:pPr>
      <w:r>
        <w:rPr>
          <w:rFonts w:hint="cs"/>
          <w:rtl/>
        </w:rPr>
        <w:t>נראה כי רבותינו הראשונים התקשו בסגנון לשון המשנה, וקושי זה הוביל אותם לפירושים שונים מבחינה לשונית: מלשון המשנה "</w:t>
      </w:r>
      <w:r>
        <w:rPr>
          <w:rtl/>
        </w:rPr>
        <w:t xml:space="preserve">לא יפלה את </w:t>
      </w:r>
      <w:r>
        <w:rPr>
          <w:rFonts w:hint="cs"/>
          <w:rtl/>
        </w:rPr>
        <w:t xml:space="preserve">כליו" משמע שמדובר על הפעולה שנעשית בבגדיו, דהיינו הבדיקה שלהם (פעולה </w:t>
      </w:r>
      <w:r>
        <w:rPr>
          <w:rFonts w:hint="cs"/>
          <w:b/>
          <w:bCs/>
          <w:rtl/>
        </w:rPr>
        <w:t>א'</w:t>
      </w:r>
      <w:r>
        <w:rPr>
          <w:rFonts w:hint="cs"/>
          <w:rtl/>
        </w:rPr>
        <w:t xml:space="preserve">), וכך פרש הרמב"ם. ברם, על פירוש זה קשה: היכן מצאנו ש"יפלה" משמעו "יבדוק"? </w:t>
      </w:r>
    </w:p>
    <w:p w14:paraId="40AFB878" w14:textId="77777777" w:rsidR="00063EA9" w:rsidRDefault="00063EA9">
      <w:pPr>
        <w:ind w:firstLine="284"/>
        <w:rPr>
          <w:rFonts w:hint="cs"/>
          <w:rtl/>
        </w:rPr>
      </w:pPr>
      <w:r>
        <w:rPr>
          <w:rFonts w:hint="cs"/>
          <w:rtl/>
        </w:rPr>
        <w:t xml:space="preserve">לכן פרש רש"י (תוך הסתמכות על הלשון הארמית שבתרגום אונקלוס, הידועה בקִרבתה לעברית של חז"ל), שמדובר על סילוקם של הכִּנים (פעולה </w:t>
      </w:r>
      <w:r>
        <w:rPr>
          <w:rFonts w:hint="cs"/>
          <w:b/>
          <w:bCs/>
          <w:rtl/>
        </w:rPr>
        <w:t>ב'</w:t>
      </w:r>
      <w:r>
        <w:rPr>
          <w:rFonts w:hint="cs"/>
          <w:rtl/>
        </w:rPr>
        <w:t>). וצ"ע, כיצד יפרנס רש"י את לשון המשנה "</w:t>
      </w:r>
      <w:r>
        <w:rPr>
          <w:rtl/>
        </w:rPr>
        <w:t xml:space="preserve">לא יפלה </w:t>
      </w:r>
      <w:r>
        <w:rPr>
          <w:b/>
          <w:bCs/>
          <w:rtl/>
        </w:rPr>
        <w:t xml:space="preserve">את </w:t>
      </w:r>
      <w:r>
        <w:rPr>
          <w:rFonts w:hint="cs"/>
          <w:b/>
          <w:bCs/>
          <w:rtl/>
        </w:rPr>
        <w:t>כליו</w:t>
      </w:r>
      <w:r>
        <w:rPr>
          <w:rFonts w:hint="cs"/>
          <w:rtl/>
        </w:rPr>
        <w:t xml:space="preserve">"? הרי </w:t>
      </w:r>
      <w:r>
        <w:rPr>
          <w:rtl/>
        </w:rPr>
        <w:t>לפירושו היה צריך לומר "לא יפלה</w:t>
      </w:r>
      <w:r>
        <w:rPr>
          <w:rFonts w:hint="cs"/>
          <w:rtl/>
        </w:rPr>
        <w:t xml:space="preserve"> [=י</w:t>
      </w:r>
      <w:r>
        <w:rPr>
          <w:rtl/>
        </w:rPr>
        <w:t>ְבַעֵר</w:t>
      </w:r>
      <w:r>
        <w:rPr>
          <w:rStyle w:val="a6"/>
          <w:rtl/>
        </w:rPr>
        <w:footnoteReference w:id="4"/>
      </w:r>
      <w:r>
        <w:rPr>
          <w:rFonts w:hint="cs"/>
          <w:rtl/>
        </w:rPr>
        <w:t>]</w:t>
      </w:r>
      <w:r>
        <w:rPr>
          <w:rtl/>
        </w:rPr>
        <w:t xml:space="preserve"> את </w:t>
      </w:r>
      <w:r>
        <w:rPr>
          <w:rFonts w:hint="cs"/>
          <w:rtl/>
        </w:rPr>
        <w:t>[</w:t>
      </w:r>
      <w:r>
        <w:rPr>
          <w:rtl/>
        </w:rPr>
        <w:t>הכִּנים מתוך</w:t>
      </w:r>
      <w:r>
        <w:rPr>
          <w:rFonts w:hint="cs"/>
          <w:rtl/>
        </w:rPr>
        <w:t>]</w:t>
      </w:r>
      <w:r>
        <w:rPr>
          <w:rtl/>
        </w:rPr>
        <w:t xml:space="preserve"> כליו"!</w:t>
      </w:r>
      <w:r>
        <w:rPr>
          <w:rStyle w:val="a6"/>
          <w:rtl/>
        </w:rPr>
        <w:footnoteReference w:id="5"/>
      </w:r>
    </w:p>
    <w:p w14:paraId="3044B4A1" w14:textId="77777777" w:rsidR="00063EA9" w:rsidRDefault="00063EA9">
      <w:pPr>
        <w:ind w:firstLine="284"/>
        <w:rPr>
          <w:rFonts w:hint="cs"/>
          <w:rtl/>
        </w:rPr>
      </w:pPr>
      <w:r>
        <w:rPr>
          <w:rFonts w:hint="cs"/>
          <w:rtl/>
        </w:rPr>
        <w:lastRenderedPageBreak/>
        <w:t>את הקושיה על פירוש הרמב"ם ניתן לתרץ כך: אמנם לא מצאנו בשום מקום ש"יפלה" משמעו "יבדוק" -- חוץ מכאן! זאת ועוד, על המשנה "</w:t>
      </w:r>
      <w:r>
        <w:rPr>
          <w:rtl/>
        </w:rPr>
        <w:t xml:space="preserve">לא יפלה את </w:t>
      </w:r>
      <w:r>
        <w:rPr>
          <w:rFonts w:hint="cs"/>
          <w:rtl/>
        </w:rPr>
        <w:t>כליו" הביא התלמוד (</w:t>
      </w:r>
      <w:r>
        <w:rPr>
          <w:rFonts w:hint="cs"/>
          <w:sz w:val="18"/>
          <w:szCs w:val="20"/>
          <w:rtl/>
        </w:rPr>
        <w:t xml:space="preserve">להלן דף </w:t>
      </w:r>
      <w:r>
        <w:rPr>
          <w:sz w:val="18"/>
          <w:szCs w:val="20"/>
          <w:rtl/>
        </w:rPr>
        <w:t>יב</w:t>
      </w:r>
      <w:r>
        <w:rPr>
          <w:rFonts w:hint="cs"/>
          <w:sz w:val="18"/>
          <w:szCs w:val="20"/>
          <w:rtl/>
        </w:rPr>
        <w:t xml:space="preserve">, </w:t>
      </w:r>
      <w:r>
        <w:rPr>
          <w:sz w:val="18"/>
          <w:szCs w:val="20"/>
          <w:rtl/>
        </w:rPr>
        <w:t>א</w:t>
      </w:r>
      <w:r>
        <w:rPr>
          <w:rFonts w:hint="cs"/>
          <w:rtl/>
        </w:rPr>
        <w:t xml:space="preserve">) מימרא של </w:t>
      </w:r>
      <w:r>
        <w:rPr>
          <w:rtl/>
        </w:rPr>
        <w:t xml:space="preserve">רב יהודה </w:t>
      </w:r>
      <w:r>
        <w:rPr>
          <w:rFonts w:hint="cs"/>
          <w:rtl/>
        </w:rPr>
        <w:t xml:space="preserve">בשם </w:t>
      </w:r>
      <w:r>
        <w:rPr>
          <w:rtl/>
        </w:rPr>
        <w:t>שמואל</w:t>
      </w:r>
      <w:r>
        <w:rPr>
          <w:rFonts w:hint="cs"/>
          <w:rtl/>
        </w:rPr>
        <w:t xml:space="preserve"> בלשון זו "</w:t>
      </w:r>
      <w:r>
        <w:rPr>
          <w:rtl/>
        </w:rPr>
        <w:t xml:space="preserve">אפילו </w:t>
      </w:r>
      <w:r>
        <w:rPr>
          <w:b/>
          <w:bCs/>
          <w:rtl/>
        </w:rPr>
        <w:t>להבחין</w:t>
      </w:r>
      <w:r>
        <w:rPr>
          <w:rtl/>
        </w:rPr>
        <w:t xml:space="preserve"> בין בגדו לבגדי אשתו</w:t>
      </w:r>
      <w:r>
        <w:rPr>
          <w:rFonts w:hint="cs"/>
          <w:rtl/>
        </w:rPr>
        <w:t>"</w:t>
      </w:r>
      <w:r>
        <w:rPr>
          <w:rtl/>
        </w:rPr>
        <w:t xml:space="preserve">. </w:t>
      </w:r>
      <w:r>
        <w:rPr>
          <w:rFonts w:hint="cs"/>
          <w:rtl/>
        </w:rPr>
        <w:t>כלומר, אותה פעולה ששנינו במשנה (</w:t>
      </w:r>
      <w:r>
        <w:rPr>
          <w:rFonts w:ascii="Arial" w:hAnsi="Arial" w:cs="Arial" w:hint="cs"/>
          <w:sz w:val="24"/>
          <w:rtl/>
        </w:rPr>
        <w:t>=</w:t>
      </w:r>
      <w:r>
        <w:rPr>
          <w:rFonts w:hint="cs"/>
          <w:rtl/>
        </w:rPr>
        <w:t xml:space="preserve"> </w:t>
      </w:r>
      <w:r>
        <w:rPr>
          <w:rFonts w:hint="cs"/>
          <w:b/>
          <w:bCs/>
          <w:rtl/>
        </w:rPr>
        <w:t>בדיקת</w:t>
      </w:r>
      <w:r>
        <w:rPr>
          <w:rFonts w:hint="cs"/>
          <w:rtl/>
        </w:rPr>
        <w:t xml:space="preserve"> בגדים), </w:t>
      </w:r>
      <w:r>
        <w:rPr>
          <w:rtl/>
        </w:rPr>
        <w:lastRenderedPageBreak/>
        <w:t>יכולה להיעשות לא רק על מנת לבעֵר כִּנים, אלא גם על מנת לזהוֹת אם מדובר בבגדו או בבגד אשתו</w:t>
      </w:r>
      <w:r>
        <w:rPr>
          <w:rStyle w:val="a6"/>
          <w:rtl/>
        </w:rPr>
        <w:footnoteReference w:id="6"/>
      </w:r>
      <w:r>
        <w:rPr>
          <w:rtl/>
        </w:rPr>
        <w:t>.</w:t>
      </w:r>
    </w:p>
    <w:p w14:paraId="56D24094" w14:textId="77777777" w:rsidR="00063EA9" w:rsidRDefault="00063EA9">
      <w:pPr>
        <w:ind w:firstLine="284"/>
        <w:rPr>
          <w:rFonts w:hint="cs"/>
          <w:rtl/>
        </w:rPr>
      </w:pPr>
      <w:r>
        <w:rPr>
          <w:rtl/>
        </w:rPr>
        <w:t>ומהיכן התפתחה משמעות זו לפֹעַל "יפלה"? נראה להסביר שחל כאן "מעתק משמעות"</w:t>
      </w:r>
      <w:r>
        <w:rPr>
          <w:rStyle w:val="a6"/>
          <w:rtl/>
        </w:rPr>
        <w:footnoteReference w:id="7"/>
      </w:r>
      <w:r>
        <w:rPr>
          <w:rtl/>
        </w:rPr>
        <w:t xml:space="preserve"> באופן זה: "יפלה" במקורו משמעו "יוציא, יסַלֵּק"</w:t>
      </w:r>
      <w:r>
        <w:rPr>
          <w:rFonts w:hint="cs"/>
          <w:rtl/>
        </w:rPr>
        <w:t xml:space="preserve"> (</w:t>
      </w:r>
      <w:r>
        <w:rPr>
          <w:rFonts w:hint="cs"/>
          <w:sz w:val="18"/>
          <w:szCs w:val="20"/>
          <w:rtl/>
        </w:rPr>
        <w:t>כהוכחת רש"י מהתרגום</w:t>
      </w:r>
      <w:r>
        <w:rPr>
          <w:rFonts w:hint="cs"/>
          <w:rtl/>
        </w:rPr>
        <w:t>), אך מכיוון שאת סילוק הכִּנים מקדים חיפוש ממושך ומייגע עד למציאתם, נקרא כל התהליך על שם סופו, ולכן ניתן לומר "יפלה" את הבגד, דהיינו יבדוק אותו ויעשה את כל התהליך שמטרתו סילוק הכִּנים.</w:t>
      </w:r>
    </w:p>
    <w:p w14:paraId="5B046187" w14:textId="77777777" w:rsidR="00063EA9" w:rsidRDefault="00063EA9">
      <w:pPr>
        <w:ind w:firstLine="284"/>
        <w:rPr>
          <w:rFonts w:hint="cs"/>
          <w:rtl/>
        </w:rPr>
      </w:pPr>
      <w:r>
        <w:rPr>
          <w:rFonts w:hint="cs"/>
          <w:rtl/>
        </w:rPr>
        <w:t>כיוצא בדבר מצינו בפֹעַל המקביל "בִּעֵר": הואיל ואת ביעור החמץ (</w:t>
      </w:r>
      <w:r>
        <w:rPr>
          <w:rFonts w:hint="cs"/>
          <w:sz w:val="18"/>
          <w:szCs w:val="20"/>
          <w:rtl/>
        </w:rPr>
        <w:t>דהיינו השבתתו וסילוקו מן העולם או עכ"פ מרשות ישראל</w:t>
      </w:r>
      <w:r>
        <w:rPr>
          <w:rFonts w:hint="cs"/>
          <w:rtl/>
        </w:rPr>
        <w:t>) מקדימה בדיקה מדוקדקת עד למציאת כל החמץ, נקרא כל התהליך על שם סופו. לפיכך יכולה הברייתא להשתמש בניסוח "</w:t>
      </w:r>
      <w:r>
        <w:rPr>
          <w:rtl/>
        </w:rPr>
        <w:t xml:space="preserve">הכל נאמנים על </w:t>
      </w:r>
      <w:r>
        <w:rPr>
          <w:b/>
          <w:bCs/>
          <w:rtl/>
        </w:rPr>
        <w:t>ביעור</w:t>
      </w:r>
      <w:r>
        <w:rPr>
          <w:rtl/>
        </w:rPr>
        <w:t xml:space="preserve"> חמץ</w:t>
      </w:r>
      <w:r>
        <w:rPr>
          <w:rFonts w:hint="cs"/>
          <w:rtl/>
        </w:rPr>
        <w:t>"</w:t>
      </w:r>
      <w:r>
        <w:rPr>
          <w:rtl/>
        </w:rPr>
        <w:t xml:space="preserve"> </w:t>
      </w:r>
      <w:r>
        <w:rPr>
          <w:rFonts w:hint="cs"/>
          <w:rtl/>
        </w:rPr>
        <w:t>(</w:t>
      </w:r>
      <w:r>
        <w:rPr>
          <w:sz w:val="18"/>
          <w:szCs w:val="20"/>
          <w:rtl/>
        </w:rPr>
        <w:t>פסחים ד</w:t>
      </w:r>
      <w:r>
        <w:rPr>
          <w:rFonts w:hint="cs"/>
          <w:sz w:val="18"/>
          <w:szCs w:val="20"/>
          <w:rtl/>
        </w:rPr>
        <w:t xml:space="preserve">, </w:t>
      </w:r>
      <w:r>
        <w:rPr>
          <w:sz w:val="18"/>
          <w:szCs w:val="20"/>
          <w:rtl/>
        </w:rPr>
        <w:t>א</w:t>
      </w:r>
      <w:r>
        <w:rPr>
          <w:rFonts w:hint="cs"/>
          <w:rtl/>
        </w:rPr>
        <w:t xml:space="preserve">) על אף שמדובר על </w:t>
      </w:r>
      <w:r>
        <w:rPr>
          <w:b/>
          <w:bCs/>
          <w:sz w:val="26"/>
          <w:rtl/>
        </w:rPr>
        <w:t>בד</w:t>
      </w:r>
      <w:r>
        <w:rPr>
          <w:rFonts w:hint="cs"/>
          <w:b/>
          <w:bCs/>
          <w:sz w:val="26"/>
          <w:rtl/>
        </w:rPr>
        <w:t>י</w:t>
      </w:r>
      <w:r>
        <w:rPr>
          <w:b/>
          <w:bCs/>
          <w:sz w:val="26"/>
          <w:rtl/>
        </w:rPr>
        <w:t>ק</w:t>
      </w:r>
      <w:r>
        <w:rPr>
          <w:rFonts w:hint="cs"/>
          <w:b/>
          <w:bCs/>
          <w:sz w:val="26"/>
          <w:rtl/>
        </w:rPr>
        <w:t>ת</w:t>
      </w:r>
      <w:r>
        <w:rPr>
          <w:sz w:val="26"/>
          <w:rtl/>
        </w:rPr>
        <w:t xml:space="preserve"> </w:t>
      </w:r>
      <w:r>
        <w:rPr>
          <w:rFonts w:hint="cs"/>
          <w:sz w:val="26"/>
          <w:rtl/>
        </w:rPr>
        <w:t>חמץ (</w:t>
      </w:r>
      <w:r>
        <w:rPr>
          <w:sz w:val="18"/>
          <w:szCs w:val="20"/>
          <w:rtl/>
        </w:rPr>
        <w:t xml:space="preserve">רש"י </w:t>
      </w:r>
      <w:r>
        <w:rPr>
          <w:rFonts w:hint="cs"/>
          <w:sz w:val="18"/>
          <w:szCs w:val="20"/>
          <w:rtl/>
        </w:rPr>
        <w:t xml:space="preserve">שם </w:t>
      </w:r>
      <w:r>
        <w:rPr>
          <w:rFonts w:hint="cs"/>
          <w:sz w:val="18"/>
          <w:szCs w:val="20"/>
          <w:rtl/>
        </w:rPr>
        <w:lastRenderedPageBreak/>
        <w:t xml:space="preserve">ד"ה </w:t>
      </w:r>
      <w:r>
        <w:rPr>
          <w:sz w:val="18"/>
          <w:szCs w:val="20"/>
          <w:rtl/>
        </w:rPr>
        <w:t>נאמנין</w:t>
      </w:r>
      <w:r>
        <w:rPr>
          <w:rFonts w:hint="cs"/>
          <w:rtl/>
        </w:rPr>
        <w:t xml:space="preserve">), וכן נוסח הברכה עובר לעשיית </w:t>
      </w:r>
      <w:r>
        <w:rPr>
          <w:rFonts w:hint="cs"/>
          <w:b/>
          <w:bCs/>
          <w:rtl/>
        </w:rPr>
        <w:t>הבדיקה</w:t>
      </w:r>
      <w:r>
        <w:rPr>
          <w:rFonts w:hint="cs"/>
          <w:rtl/>
        </w:rPr>
        <w:t xml:space="preserve"> הוא:</w:t>
      </w:r>
      <w:r>
        <w:rPr>
          <w:rtl/>
        </w:rPr>
        <w:t xml:space="preserve"> "על </w:t>
      </w:r>
      <w:r>
        <w:rPr>
          <w:b/>
          <w:bCs/>
          <w:rtl/>
        </w:rPr>
        <w:t>ביעור</w:t>
      </w:r>
      <w:r>
        <w:rPr>
          <w:rtl/>
        </w:rPr>
        <w:t xml:space="preserve"> חמץ"</w:t>
      </w:r>
      <w:r>
        <w:rPr>
          <w:rStyle w:val="a6"/>
          <w:rtl/>
        </w:rPr>
        <w:footnoteReference w:id="8"/>
      </w:r>
      <w:r>
        <w:rPr>
          <w:rtl/>
        </w:rPr>
        <w:t>. מעתק משמעות זה חל בלשון חכמים, ואולי יסודו במקרא</w:t>
      </w:r>
      <w:r>
        <w:rPr>
          <w:rStyle w:val="a6"/>
          <w:rtl/>
        </w:rPr>
        <w:footnoteReference w:id="9"/>
      </w:r>
      <w:r>
        <w:rPr>
          <w:rFonts w:hint="cs"/>
          <w:rtl/>
        </w:rPr>
        <w:t>.</w:t>
      </w:r>
    </w:p>
    <w:p w14:paraId="521E6A3C" w14:textId="77777777" w:rsidR="00063EA9" w:rsidRDefault="00063EA9">
      <w:pPr>
        <w:ind w:firstLine="284"/>
        <w:rPr>
          <w:rFonts w:hint="cs"/>
          <w:rtl/>
        </w:rPr>
      </w:pPr>
      <w:r>
        <w:rPr>
          <w:rFonts w:hint="cs"/>
          <w:rtl/>
        </w:rPr>
        <w:t>כיוצא בדבר מצינו בפֹעַל "פִּאֵר"</w:t>
      </w:r>
      <w:r>
        <w:rPr>
          <w:rStyle w:val="a6"/>
          <w:rtl/>
        </w:rPr>
        <w:footnoteReference w:id="10"/>
      </w:r>
      <w:r>
        <w:rPr>
          <w:rFonts w:hint="cs"/>
          <w:rtl/>
        </w:rPr>
        <w:t xml:space="preserve"> </w:t>
      </w:r>
      <w:r>
        <w:rPr>
          <w:rtl/>
        </w:rPr>
        <w:t>בפרשת כי תצא (</w:t>
      </w:r>
      <w:r>
        <w:rPr>
          <w:sz w:val="18"/>
          <w:szCs w:val="20"/>
          <w:rtl/>
        </w:rPr>
        <w:t>דברים כד, כ</w:t>
      </w:r>
      <w:r>
        <w:rPr>
          <w:rtl/>
        </w:rPr>
        <w:t xml:space="preserve">): "כִּי תַחְבֹּט זֵיתְךָ לֹא </w:t>
      </w:r>
      <w:r>
        <w:rPr>
          <w:b/>
          <w:bCs/>
          <w:rtl/>
        </w:rPr>
        <w:t>תְפַאֵר</w:t>
      </w:r>
      <w:r>
        <w:rPr>
          <w:rtl/>
        </w:rPr>
        <w:t xml:space="preserve"> אַחֲרֶיךָ, לַגֵּר לַיָּתוֹם וְלָאַלְמָנָה יִהְיֶה". גם </w:t>
      </w:r>
      <w:r>
        <w:rPr>
          <w:rtl/>
        </w:rPr>
        <w:lastRenderedPageBreak/>
        <w:t>"תְפַאֵר" (</w:t>
      </w:r>
      <w:r>
        <w:rPr>
          <w:rFonts w:hint="cs"/>
          <w:rtl/>
        </w:rPr>
        <w:t>הדומה במשמעותו</w:t>
      </w:r>
      <w:r>
        <w:rPr>
          <w:rtl/>
        </w:rPr>
        <w:t xml:space="preserve"> </w:t>
      </w:r>
      <w:r>
        <w:rPr>
          <w:rFonts w:hint="cs"/>
          <w:rtl/>
        </w:rPr>
        <w:t>ל"</w:t>
      </w:r>
      <w:r>
        <w:rPr>
          <w:rtl/>
        </w:rPr>
        <w:t>תְ</w:t>
      </w:r>
      <w:r>
        <w:rPr>
          <w:rFonts w:hint="cs"/>
          <w:rtl/>
        </w:rPr>
        <w:t>ב</w:t>
      </w:r>
      <w:r>
        <w:rPr>
          <w:rtl/>
        </w:rPr>
        <w:t>ַ</w:t>
      </w:r>
      <w:r>
        <w:rPr>
          <w:rFonts w:hint="cs"/>
          <w:rtl/>
        </w:rPr>
        <w:t>ע</w:t>
      </w:r>
      <w:r>
        <w:rPr>
          <w:rtl/>
        </w:rPr>
        <w:t>ֵר</w:t>
      </w:r>
      <w:r>
        <w:rPr>
          <w:rFonts w:hint="cs"/>
          <w:rtl/>
        </w:rPr>
        <w:t>"</w:t>
      </w:r>
      <w:r>
        <w:rPr>
          <w:rStyle w:val="a6"/>
          <w:rtl/>
        </w:rPr>
        <w:footnoteReference w:id="11"/>
      </w:r>
      <w:r>
        <w:rPr>
          <w:rtl/>
        </w:rPr>
        <w:t xml:space="preserve">) תורגם ע"י אונקלוס "תפלי", ואיסור </w:t>
      </w:r>
      <w:r>
        <w:rPr>
          <w:rFonts w:hint="cs"/>
          <w:rtl/>
        </w:rPr>
        <w:t xml:space="preserve">זה </w:t>
      </w:r>
      <w:r>
        <w:rPr>
          <w:rtl/>
        </w:rPr>
        <w:t xml:space="preserve">כולל </w:t>
      </w:r>
      <w:r>
        <w:rPr>
          <w:rFonts w:hint="cs"/>
          <w:rtl/>
        </w:rPr>
        <w:t xml:space="preserve">הן </w:t>
      </w:r>
      <w:r>
        <w:rPr>
          <w:rtl/>
        </w:rPr>
        <w:t>סילוק ועקירה של פֹּארוֹת העץ</w:t>
      </w:r>
      <w:r>
        <w:rPr>
          <w:rStyle w:val="a6"/>
          <w:rtl/>
        </w:rPr>
        <w:footnoteReference w:id="12"/>
      </w:r>
      <w:r>
        <w:rPr>
          <w:rtl/>
        </w:rPr>
        <w:t>, ו</w:t>
      </w:r>
      <w:r>
        <w:rPr>
          <w:rFonts w:hint="cs"/>
          <w:rtl/>
        </w:rPr>
        <w:t>הן</w:t>
      </w:r>
      <w:r>
        <w:rPr>
          <w:rtl/>
        </w:rPr>
        <w:t xml:space="preserve"> חיפוש אחריה</w:t>
      </w:r>
      <w:r>
        <w:rPr>
          <w:rFonts w:hint="cs"/>
          <w:rtl/>
        </w:rPr>
        <w:t>ן</w:t>
      </w:r>
      <w:r>
        <w:rPr>
          <w:rtl/>
        </w:rPr>
        <w:t xml:space="preserve"> על מנת לקוצצ</w:t>
      </w:r>
      <w:r>
        <w:rPr>
          <w:rFonts w:hint="cs"/>
          <w:rtl/>
        </w:rPr>
        <w:t>ן</w:t>
      </w:r>
      <w:r>
        <w:rPr>
          <w:rStyle w:val="a6"/>
          <w:rtl/>
        </w:rPr>
        <w:footnoteReference w:id="13"/>
      </w:r>
      <w:r>
        <w:rPr>
          <w:rtl/>
        </w:rPr>
        <w:t>.</w:t>
      </w:r>
    </w:p>
    <w:p w14:paraId="73DE52BD" w14:textId="77777777" w:rsidR="00063EA9" w:rsidRDefault="00063EA9">
      <w:pPr>
        <w:ind w:firstLine="284"/>
        <w:rPr>
          <w:rFonts w:hint="cs"/>
          <w:rtl/>
        </w:rPr>
      </w:pPr>
      <w:r>
        <w:rPr>
          <w:rFonts w:hint="cs"/>
          <w:rtl/>
        </w:rPr>
        <w:t xml:space="preserve">ועתה נפנה לשאלת צורתו של הפֹעַל "יפלה". מצינו שתי צורות כתיב </w:t>
      </w:r>
      <w:r>
        <w:rPr>
          <w:rtl/>
        </w:rPr>
        <w:t>(יפל</w:t>
      </w:r>
      <w:r>
        <w:rPr>
          <w:b/>
          <w:bCs/>
          <w:rtl/>
        </w:rPr>
        <w:t>ה</w:t>
      </w:r>
      <w:r>
        <w:rPr>
          <w:rtl/>
        </w:rPr>
        <w:t xml:space="preserve"> / יפל</w:t>
      </w:r>
      <w:r>
        <w:rPr>
          <w:b/>
          <w:bCs/>
          <w:rtl/>
        </w:rPr>
        <w:t>א</w:t>
      </w:r>
      <w:r>
        <w:rPr>
          <w:rStyle w:val="a6"/>
          <w:rtl/>
        </w:rPr>
        <w:footnoteReference w:id="14"/>
      </w:r>
      <w:r>
        <w:rPr>
          <w:rFonts w:hint="cs"/>
          <w:rtl/>
        </w:rPr>
        <w:t>) ושלושה אופני קריאה: בבנין קל: "יִפְלֶה", בבנין הִפעיל: "יַפְלֶה", או בבנין פִעֵל: "יְפַלֶּה".</w:t>
      </w:r>
    </w:p>
    <w:p w14:paraId="33191FC9" w14:textId="77777777" w:rsidR="00063EA9" w:rsidRDefault="00063EA9">
      <w:pPr>
        <w:ind w:firstLine="284"/>
        <w:rPr>
          <w:rFonts w:hint="cs"/>
          <w:rtl/>
        </w:rPr>
      </w:pPr>
      <w:r>
        <w:rPr>
          <w:rFonts w:hint="cs"/>
          <w:rtl/>
        </w:rPr>
        <w:lastRenderedPageBreak/>
        <w:t>הקריאה בבנין קל: "יִפְלֶה", נתמכת מלשון הברייתא: "אין פּוֹלִין לאור הנר" (</w:t>
      </w:r>
      <w:r>
        <w:rPr>
          <w:rFonts w:hint="cs"/>
          <w:sz w:val="18"/>
          <w:szCs w:val="20"/>
          <w:rtl/>
        </w:rPr>
        <w:t xml:space="preserve">להלן דף </w:t>
      </w:r>
      <w:r>
        <w:rPr>
          <w:sz w:val="18"/>
          <w:szCs w:val="20"/>
          <w:rtl/>
        </w:rPr>
        <w:t>יב</w:t>
      </w:r>
      <w:r>
        <w:rPr>
          <w:rFonts w:hint="cs"/>
          <w:sz w:val="18"/>
          <w:szCs w:val="20"/>
          <w:rtl/>
        </w:rPr>
        <w:t xml:space="preserve">, </w:t>
      </w:r>
      <w:r>
        <w:rPr>
          <w:sz w:val="18"/>
          <w:szCs w:val="20"/>
          <w:rtl/>
        </w:rPr>
        <w:t>א</w:t>
      </w:r>
      <w:r>
        <w:rPr>
          <w:rFonts w:hint="cs"/>
          <w:rtl/>
        </w:rPr>
        <w:t>). אך לשון ברייתא אחרת (</w:t>
      </w:r>
      <w:r>
        <w:rPr>
          <w:rFonts w:hint="cs"/>
          <w:sz w:val="18"/>
          <w:szCs w:val="20"/>
          <w:rtl/>
        </w:rPr>
        <w:t>שם</w:t>
      </w:r>
      <w:r>
        <w:rPr>
          <w:rFonts w:hint="cs"/>
          <w:rtl/>
        </w:rPr>
        <w:t xml:space="preserve">) "המפלה את </w:t>
      </w:r>
      <w:r>
        <w:rPr>
          <w:rtl/>
        </w:rPr>
        <w:t>כליו</w:t>
      </w:r>
      <w:r>
        <w:rPr>
          <w:rFonts w:hint="cs"/>
          <w:rtl/>
        </w:rPr>
        <w:t>" מסייעת לקריאה בבנין פִעֵל (המְפַלֶּה), או בהִפעיל (המַפְלֶה).</w:t>
      </w:r>
    </w:p>
    <w:p w14:paraId="65E53710" w14:textId="77777777" w:rsidR="00063EA9" w:rsidRDefault="00063EA9">
      <w:pPr>
        <w:ind w:firstLine="284"/>
        <w:rPr>
          <w:rFonts w:hint="cs"/>
          <w:rtl/>
        </w:rPr>
      </w:pPr>
      <w:r>
        <w:rPr>
          <w:rtl/>
        </w:rPr>
        <w:t>רבי יעקב עמדין</w:t>
      </w:r>
      <w:r>
        <w:rPr>
          <w:rStyle w:val="a6"/>
          <w:rtl/>
        </w:rPr>
        <w:footnoteReference w:id="15"/>
      </w:r>
      <w:r>
        <w:rPr>
          <w:rtl/>
        </w:rPr>
        <w:t xml:space="preserve"> </w:t>
      </w:r>
      <w:r>
        <w:rPr>
          <w:rFonts w:hint="cs"/>
          <w:rtl/>
        </w:rPr>
        <w:t>סבור שיש לקרוא "יְפַלֶּה - מהַכָּבֵד" (היינו מבנין פִעֵל), "על דרך התרגום: וּבִעַרְתָּ (</w:t>
      </w:r>
      <w:r>
        <w:rPr>
          <w:rFonts w:hint="cs"/>
          <w:sz w:val="18"/>
          <w:szCs w:val="20"/>
          <w:rtl/>
        </w:rPr>
        <w:t>דברים יג, ו</w:t>
      </w:r>
      <w:r>
        <w:rPr>
          <w:rFonts w:hint="cs"/>
          <w:rtl/>
        </w:rPr>
        <w:t>) - וּתְפַלֵּי; בִּעַרְתִּי (</w:t>
      </w:r>
      <w:r>
        <w:rPr>
          <w:rFonts w:hint="cs"/>
          <w:sz w:val="18"/>
          <w:szCs w:val="20"/>
          <w:rtl/>
        </w:rPr>
        <w:t>דברים כו, יג</w:t>
      </w:r>
      <w:r>
        <w:rPr>
          <w:rFonts w:hint="cs"/>
          <w:rtl/>
        </w:rPr>
        <w:t>) - פַּלֵּתִי" (כנ"ל בפירוש רש"י). "ובטעות רגילין לקרות 'יַפְלֶה' על דרך העִברי, שהוא מהנוסף" (היינו מבנין הִפעיל), "כי הוא לשון הבדלה" כלשון התורה (</w:t>
      </w:r>
      <w:r>
        <w:rPr>
          <w:rFonts w:hint="cs"/>
          <w:sz w:val="18"/>
          <w:szCs w:val="20"/>
          <w:rtl/>
        </w:rPr>
        <w:t>שמות יא, ז</w:t>
      </w:r>
      <w:r>
        <w:rPr>
          <w:rFonts w:hint="cs"/>
          <w:rtl/>
        </w:rPr>
        <w:t xml:space="preserve">): "אֲשֶׁר </w:t>
      </w:r>
      <w:r>
        <w:rPr>
          <w:rFonts w:hint="cs"/>
          <w:b/>
          <w:bCs/>
          <w:rtl/>
        </w:rPr>
        <w:t>יַפְלֶה</w:t>
      </w:r>
      <w:r>
        <w:rPr>
          <w:rFonts w:hint="cs"/>
          <w:rtl/>
        </w:rPr>
        <w:t xml:space="preserve"> ה' בֵּין מִצְרַיִם וּבֵין יִשְׂרָאֵל". לדעתו, יש להבחין בין בנין הִפעיל שהוראתו "הבְדלה והבְחנה" לבין בנין פִעֵל שהוראתו "סילוק והוצאה" (כפי שתרגם אונקלוס בביעור מעשרות ועוד).</w:t>
      </w:r>
    </w:p>
    <w:p w14:paraId="257E40DF" w14:textId="77777777" w:rsidR="00063EA9" w:rsidRDefault="00063EA9">
      <w:pPr>
        <w:ind w:firstLine="284"/>
        <w:rPr>
          <w:rFonts w:hint="cs"/>
          <w:rtl/>
        </w:rPr>
      </w:pPr>
      <w:r>
        <w:rPr>
          <w:rtl/>
        </w:rPr>
        <w:t>ואכן, ברוב המשניות המנוקדות בכתבי יד ובדפוסים הניקוד הוא "יְפַלֶּה" (או "יְפַלֵּא"), למעט משניות דפוס קושטא ששם מנוקד "יַפְלֶה"</w:t>
      </w:r>
      <w:r>
        <w:rPr>
          <w:rStyle w:val="a6"/>
          <w:rtl/>
        </w:rPr>
        <w:footnoteReference w:id="16"/>
      </w:r>
      <w:r>
        <w:rPr>
          <w:rtl/>
        </w:rPr>
        <w:t>.</w:t>
      </w:r>
    </w:p>
    <w:p w14:paraId="778B7F9A" w14:textId="77777777" w:rsidR="00063EA9" w:rsidRDefault="00063EA9">
      <w:pPr>
        <w:ind w:firstLine="284"/>
        <w:rPr>
          <w:rFonts w:hint="cs"/>
          <w:rtl/>
        </w:rPr>
      </w:pPr>
      <w:r>
        <w:rPr>
          <w:rFonts w:hint="cs"/>
          <w:rtl/>
        </w:rPr>
        <w:t xml:space="preserve">לסיום, נדון בתחביר לשון משנתנו: </w:t>
      </w:r>
      <w:r>
        <w:rPr>
          <w:rtl/>
        </w:rPr>
        <w:t>ניתן לפסֵק (וממילא להבין) משפט זה בשני אופנים</w:t>
      </w:r>
      <w:r>
        <w:rPr>
          <w:rStyle w:val="a6"/>
          <w:rtl/>
        </w:rPr>
        <w:footnoteReference w:id="17"/>
      </w:r>
      <w:r>
        <w:rPr>
          <w:rFonts w:hint="cs"/>
          <w:rtl/>
        </w:rPr>
        <w:t xml:space="preserve">: </w:t>
      </w:r>
    </w:p>
    <w:p w14:paraId="3DAB39EC" w14:textId="77777777" w:rsidR="00063EA9" w:rsidRDefault="00063EA9">
      <w:pPr>
        <w:ind w:firstLine="284"/>
        <w:rPr>
          <w:rFonts w:hint="cs"/>
          <w:rtl/>
        </w:rPr>
      </w:pPr>
      <w:r>
        <w:rPr>
          <w:rFonts w:hint="cs"/>
          <w:rtl/>
        </w:rPr>
        <w:t>א. "</w:t>
      </w:r>
      <w:r>
        <w:rPr>
          <w:rtl/>
        </w:rPr>
        <w:t>ולא יפלה את כליו ולא יקרא</w:t>
      </w:r>
      <w:r>
        <w:rPr>
          <w:rFonts w:hint="cs"/>
          <w:rtl/>
        </w:rPr>
        <w:t>,</w:t>
      </w:r>
      <w:r>
        <w:rPr>
          <w:rtl/>
        </w:rPr>
        <w:t xml:space="preserve"> לאור הנר</w:t>
      </w:r>
      <w:r>
        <w:rPr>
          <w:rFonts w:hint="cs"/>
          <w:rtl/>
        </w:rPr>
        <w:t>"</w:t>
      </w:r>
    </w:p>
    <w:p w14:paraId="6CD9D9B0" w14:textId="77777777" w:rsidR="00063EA9" w:rsidRDefault="00063EA9">
      <w:pPr>
        <w:ind w:firstLine="284"/>
        <w:rPr>
          <w:rFonts w:hint="cs"/>
          <w:rtl/>
        </w:rPr>
      </w:pPr>
      <w:r>
        <w:rPr>
          <w:rFonts w:hint="cs"/>
          <w:rtl/>
        </w:rPr>
        <w:t>ב. "</w:t>
      </w:r>
      <w:r>
        <w:rPr>
          <w:rtl/>
        </w:rPr>
        <w:t>ולא יפלה את כליו</w:t>
      </w:r>
      <w:r>
        <w:rPr>
          <w:rFonts w:hint="cs"/>
          <w:rtl/>
        </w:rPr>
        <w:t>,</w:t>
      </w:r>
      <w:r>
        <w:rPr>
          <w:rtl/>
        </w:rPr>
        <w:t xml:space="preserve"> ולא יקרא לאור הנר</w:t>
      </w:r>
      <w:r>
        <w:rPr>
          <w:rFonts w:hint="cs"/>
          <w:rtl/>
        </w:rPr>
        <w:t>"</w:t>
      </w:r>
    </w:p>
    <w:p w14:paraId="7C8135A9" w14:textId="77777777" w:rsidR="00063EA9" w:rsidRDefault="00063EA9">
      <w:pPr>
        <w:ind w:firstLine="284"/>
        <w:rPr>
          <w:rFonts w:hint="cs"/>
          <w:rtl/>
        </w:rPr>
      </w:pPr>
      <w:r>
        <w:rPr>
          <w:rFonts w:hint="cs"/>
          <w:rtl/>
        </w:rPr>
        <w:lastRenderedPageBreak/>
        <w:t>מיקום הַפְּסִיק משפיע על הבנת היקף האיסור וטעמו, כפי שנסתפקו בתלמוד: "</w:t>
      </w:r>
      <w:r>
        <w:rPr>
          <w:rtl/>
        </w:rPr>
        <w:t xml:space="preserve">איבעיא להו: </w:t>
      </w:r>
      <w:r>
        <w:rPr>
          <w:rFonts w:hint="cs"/>
          <w:rtl/>
        </w:rPr>
        <w:t>'</w:t>
      </w:r>
      <w:r>
        <w:rPr>
          <w:rtl/>
        </w:rPr>
        <w:t>לא יפלה את כליו</w:t>
      </w:r>
      <w:r>
        <w:rPr>
          <w:rFonts w:hint="cs"/>
          <w:rtl/>
        </w:rPr>
        <w:t xml:space="preserve">', </w:t>
      </w:r>
      <w:r>
        <w:rPr>
          <w:rtl/>
        </w:rPr>
        <w:t>ביום, שמא יהרוג, ורבי אליעזר היא</w:t>
      </w:r>
      <w:r>
        <w:rPr>
          <w:rFonts w:hint="cs"/>
          <w:rtl/>
        </w:rPr>
        <w:t>..</w:t>
      </w:r>
      <w:r>
        <w:rPr>
          <w:rtl/>
        </w:rPr>
        <w:t xml:space="preserve">. </w:t>
      </w:r>
      <w:r>
        <w:rPr>
          <w:rFonts w:hint="cs"/>
          <w:rtl/>
        </w:rPr>
        <w:t>'</w:t>
      </w:r>
      <w:r>
        <w:rPr>
          <w:rtl/>
        </w:rPr>
        <w:t>ולא יקרא לאור הנר</w:t>
      </w:r>
      <w:r>
        <w:rPr>
          <w:rFonts w:hint="cs"/>
          <w:rtl/>
        </w:rPr>
        <w:t xml:space="preserve">', </w:t>
      </w:r>
      <w:r>
        <w:rPr>
          <w:rtl/>
        </w:rPr>
        <w:t>שמא יטה</w:t>
      </w:r>
      <w:r>
        <w:rPr>
          <w:rFonts w:hint="cs"/>
          <w:rtl/>
        </w:rPr>
        <w:t>;</w:t>
      </w:r>
      <w:r>
        <w:rPr>
          <w:rtl/>
        </w:rPr>
        <w:t xml:space="preserve"> או דילמא: תרוייהו שמא יטה?</w:t>
      </w:r>
      <w:r>
        <w:rPr>
          <w:rFonts w:hint="cs"/>
          <w:rtl/>
        </w:rPr>
        <w:t>" (</w:t>
      </w:r>
      <w:r>
        <w:rPr>
          <w:rFonts w:hint="cs"/>
          <w:sz w:val="18"/>
          <w:szCs w:val="20"/>
          <w:rtl/>
        </w:rPr>
        <w:t xml:space="preserve">להלן דף </w:t>
      </w:r>
      <w:r>
        <w:rPr>
          <w:sz w:val="18"/>
          <w:szCs w:val="20"/>
          <w:rtl/>
        </w:rPr>
        <w:t>יב</w:t>
      </w:r>
      <w:r>
        <w:rPr>
          <w:rFonts w:hint="cs"/>
          <w:sz w:val="18"/>
          <w:szCs w:val="20"/>
          <w:rtl/>
        </w:rPr>
        <w:t xml:space="preserve">, </w:t>
      </w:r>
      <w:r>
        <w:rPr>
          <w:sz w:val="18"/>
          <w:szCs w:val="20"/>
          <w:rtl/>
        </w:rPr>
        <w:t>א</w:t>
      </w:r>
      <w:r>
        <w:rPr>
          <w:rFonts w:hint="cs"/>
          <w:rtl/>
        </w:rPr>
        <w:t>). מסקנת התלמוד "</w:t>
      </w:r>
      <w:r>
        <w:rPr>
          <w:rtl/>
        </w:rPr>
        <w:t>שמע מינה</w:t>
      </w:r>
      <w:r>
        <w:rPr>
          <w:rFonts w:hint="cs"/>
          <w:rtl/>
        </w:rPr>
        <w:t xml:space="preserve"> </w:t>
      </w:r>
      <w:r>
        <w:rPr>
          <w:rtl/>
        </w:rPr>
        <w:t>דתרוייהו שמא יטה</w:t>
      </w:r>
      <w:r>
        <w:rPr>
          <w:rFonts w:hint="cs"/>
          <w:rtl/>
        </w:rPr>
        <w:t>" מורה שהאיסור מוגבל לאור הנר בלבד (</w:t>
      </w:r>
      <w:r>
        <w:rPr>
          <w:rFonts w:hint="cs"/>
          <w:sz w:val="18"/>
          <w:szCs w:val="20"/>
          <w:rtl/>
        </w:rPr>
        <w:t>וכ"פ ה</w:t>
      </w:r>
      <w:r>
        <w:rPr>
          <w:sz w:val="18"/>
          <w:szCs w:val="20"/>
          <w:rtl/>
        </w:rPr>
        <w:t xml:space="preserve">רמב"ם </w:t>
      </w:r>
      <w:r>
        <w:rPr>
          <w:rFonts w:hint="cs"/>
          <w:sz w:val="18"/>
          <w:szCs w:val="20"/>
          <w:rtl/>
        </w:rPr>
        <w:t>ב</w:t>
      </w:r>
      <w:r>
        <w:rPr>
          <w:sz w:val="18"/>
          <w:szCs w:val="20"/>
          <w:rtl/>
        </w:rPr>
        <w:t>הלכות שבת פ</w:t>
      </w:r>
      <w:r>
        <w:rPr>
          <w:rFonts w:hint="cs"/>
          <w:sz w:val="18"/>
          <w:szCs w:val="20"/>
          <w:rtl/>
        </w:rPr>
        <w:t>"</w:t>
      </w:r>
      <w:r>
        <w:rPr>
          <w:sz w:val="18"/>
          <w:szCs w:val="20"/>
          <w:rtl/>
        </w:rPr>
        <w:t>ה הי</w:t>
      </w:r>
      <w:r>
        <w:rPr>
          <w:rFonts w:hint="cs"/>
          <w:sz w:val="18"/>
          <w:szCs w:val="20"/>
          <w:rtl/>
        </w:rPr>
        <w:t>"</w:t>
      </w:r>
      <w:r>
        <w:rPr>
          <w:sz w:val="18"/>
          <w:szCs w:val="20"/>
          <w:rtl/>
        </w:rPr>
        <w:t>ד</w:t>
      </w:r>
      <w:r>
        <w:rPr>
          <w:rFonts w:hint="cs"/>
          <w:rtl/>
        </w:rPr>
        <w:t xml:space="preserve">), ולכן יש </w:t>
      </w:r>
      <w:r>
        <w:rPr>
          <w:rtl/>
        </w:rPr>
        <w:t>לקרוא את משנתנו כאופן הראשון הנ"ל, כדי להבהיר ש"לאור הנר" שבסיפא עולה לא רק על "לא יקרא", אלא גם על "לא יפלה"</w:t>
      </w:r>
      <w:r>
        <w:rPr>
          <w:rStyle w:val="a6"/>
          <w:rtl/>
        </w:rPr>
        <w:footnoteReference w:id="18"/>
      </w:r>
      <w:r>
        <w:rPr>
          <w:rtl/>
        </w:rPr>
        <w:t>.</w:t>
      </w:r>
    </w:p>
    <w:sectPr w:rsidR="00063EA9">
      <w:footerReference w:type="even" r:id="rId10"/>
      <w:footerReference w:type="default" r:id="rId11"/>
      <w:pgSz w:w="11340" w:h="14175"/>
      <w:pgMar w:top="1134" w:right="1361" w:bottom="1134" w:left="1361" w:header="709" w:footer="709" w:gutter="0"/>
      <w:cols w:space="708"/>
      <w:bidi/>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511707" w14:textId="77777777" w:rsidR="00063EA9" w:rsidRDefault="00063EA9">
      <w:pPr>
        <w:spacing w:line="240" w:lineRule="auto"/>
      </w:pPr>
      <w:r>
        <w:separator/>
      </w:r>
    </w:p>
  </w:endnote>
  <w:endnote w:type="continuationSeparator" w:id="0">
    <w:p w14:paraId="5165F2A6" w14:textId="77777777" w:rsidR="00063EA9" w:rsidRDefault="00063EA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uttman Drogolin">
    <w:panose1 w:val="02010401010101010101"/>
    <w:charset w:val="B1"/>
    <w:family w:val="auto"/>
    <w:pitch w:val="variable"/>
    <w:sig w:usb0="00000801" w:usb1="40000000" w:usb2="00000000" w:usb3="00000000" w:csb0="00000020" w:csb1="00000000"/>
  </w:font>
  <w:font w:name="Arial">
    <w:panose1 w:val="020B0604020202020204"/>
    <w:charset w:val="00"/>
    <w:family w:val="swiss"/>
    <w:pitch w:val="variable"/>
    <w:sig w:usb0="E0002EFF" w:usb1="C000785B" w:usb2="00000009" w:usb3="00000000" w:csb0="000001FF" w:csb1="00000000"/>
  </w:font>
  <w:font w:name="Miriam Transparent">
    <w:panose1 w:val="020B050205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Arial Unicode MS">
    <w:altName w:val="Arial"/>
    <w:panose1 w:val="020B0604020202020204"/>
    <w:charset w:val="00"/>
    <w:family w:val="roman"/>
    <w:pitch w:val="variable"/>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Ezra SIL">
    <w:altName w:val="Courier New"/>
    <w:charset w:val="00"/>
    <w:family w:val="auto"/>
    <w:pitch w:val="variable"/>
    <w:sig w:usb0="00000000"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MS Mincho">
    <w:altName w:val="ＭＳ 明朝"/>
    <w:panose1 w:val="02020609040205080304"/>
    <w:charset w:val="80"/>
    <w:family w:val="modern"/>
    <w:pitch w:val="fixed"/>
    <w:sig w:usb0="E00002FF" w:usb1="6AC7FDFB" w:usb2="08000012" w:usb3="00000000" w:csb0="0002009F" w:csb1="00000000"/>
  </w:font>
  <w:font w:name="Ezra SIL SR">
    <w:charset w:val="00"/>
    <w:family w:val="auto"/>
    <w:pitch w:val="variable"/>
    <w:sig w:usb0="00001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EF3065" w14:textId="77777777" w:rsidR="00063EA9" w:rsidRDefault="00063EA9">
    <w:pPr>
      <w:pStyle w:val="a7"/>
      <w:rPr>
        <w:rFonts w:hint="cs"/>
        <w:rtl/>
      </w:rPr>
    </w:pPr>
    <w:r>
      <w:rPr>
        <w:rFonts w:hint="cs"/>
        <w:b/>
        <w:bCs/>
        <w:rtl/>
      </w:rPr>
      <w:t>ליגין</w:t>
    </w:r>
    <w:r>
      <w:rPr>
        <w:rFonts w:hint="cs"/>
        <w:rtl/>
      </w:rPr>
      <w:t>".</w:t>
    </w:r>
  </w:p>
  <w:p w14:paraId="49206543" w14:textId="77777777" w:rsidR="00063EA9" w:rsidRDefault="00063EA9">
    <w:pPr>
      <w:rPr>
        <w:szCs w:val="22"/>
      </w:rPr>
    </w:pPr>
  </w:p>
  <w:p w14:paraId="7AD99B9F" w14:textId="77777777" w:rsidR="00063EA9" w:rsidRDefault="00063EA9">
    <w:pPr>
      <w:pStyle w:val="a5"/>
      <w:framePr w:wrap="around" w:vAnchor="text" w:hAnchor="margin" w:xAlign="center" w:y="1"/>
      <w:rPr>
        <w:rStyle w:val="a8"/>
        <w:rtl/>
      </w:rPr>
    </w:pPr>
    <w:r>
      <w:rPr>
        <w:rStyle w:val="a8"/>
        <w:rtl/>
      </w:rPr>
      <w:fldChar w:fldCharType="begin"/>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D99B9F" w14:textId="77777777" w:rsidR="00063EA9" w:rsidRDefault="00063EA9">
    <w:pPr>
      <w:pStyle w:val="a5"/>
      <w:framePr w:wrap="around" w:vAnchor="text" w:hAnchor="margin" w:xAlign="center" w:y="1"/>
      <w:rPr>
        <w:rStyle w:val="a8"/>
        <w:rtl/>
      </w:rPr>
    </w:pPr>
    <w:r>
      <w:rPr>
        <w:rStyle w:val="a8"/>
        <w:szCs w:val="22"/>
      </w:rPr>
      <w:t xml:space="preserve">AGE  </w:t>
    </w:r>
  </w:p>
  <w:p w14:paraId="09340C44" w14:textId="77777777" w:rsidR="00063EA9" w:rsidRDefault="00063EA9">
    <w:pPr>
      <w:pStyle w:val="a5"/>
      <w:rPr>
        <w:rtl/>
      </w:rPr>
    </w:pPr>
  </w:p>
  <w:p w14:paraId="2CC73697" w14:textId="19D948AF" w:rsidR="00063EA9" w:rsidRDefault="00F60D80">
    <w:r>
      <w:rPr>
        <w:rStyle w:val="a8"/>
        <w:noProof/>
        <w:szCs w:val="22"/>
        <w:rtl/>
      </w:rPr>
      <w:t>1</w:t>
    </w:r>
    <w:r w:rsidR="00063EA9">
      <w:rPr>
        <w:rStyle w:val="a8"/>
        <w:szCs w:val="22"/>
      </w:rPr>
      <w:t>PAG</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517F30" w14:textId="77777777" w:rsidR="00063EA9" w:rsidRDefault="00063EA9">
      <w:pPr>
        <w:spacing w:line="240" w:lineRule="auto"/>
      </w:pPr>
      <w:r>
        <w:separator/>
      </w:r>
    </w:p>
  </w:footnote>
  <w:footnote w:type="continuationSeparator" w:id="0">
    <w:p w14:paraId="7BF71AF7" w14:textId="77777777" w:rsidR="00063EA9" w:rsidRDefault="00063EA9">
      <w:pPr>
        <w:spacing w:line="240" w:lineRule="auto"/>
      </w:pPr>
      <w:r>
        <w:continuationSeparator/>
      </w:r>
    </w:p>
  </w:footnote>
  <w:footnote w:id="1">
    <w:p w14:paraId="718606EF" w14:textId="77777777" w:rsidR="00063EA9" w:rsidRDefault="00063EA9">
      <w:pPr>
        <w:pStyle w:val="a7"/>
        <w:rPr>
          <w:rFonts w:hint="cs"/>
          <w:rtl/>
        </w:rPr>
      </w:pPr>
      <w:r>
        <w:rPr>
          <w:rStyle w:val="a6"/>
        </w:rPr>
        <w:footnoteRef/>
      </w:r>
      <w:r>
        <w:rPr>
          <w:rFonts w:hint="cs"/>
          <w:rtl/>
        </w:rPr>
        <w:t xml:space="preserve"> </w:t>
      </w:r>
      <w:r>
        <w:rPr>
          <w:rFonts w:eastAsia="MS Mincho"/>
          <w:sz w:val="26"/>
          <w:rtl/>
        </w:rPr>
        <w:t>על "כלים" במשמעות "בגדים", ראה יבמות קכ, א ורש"י ד"ה מנחשי.</w:t>
      </w:r>
    </w:p>
  </w:footnote>
  <w:footnote w:id="2">
    <w:p w14:paraId="3DC4F4FD" w14:textId="77777777" w:rsidR="00063EA9" w:rsidRDefault="00063EA9">
      <w:pPr>
        <w:pStyle w:val="a7"/>
        <w:rPr>
          <w:rFonts w:hint="cs"/>
          <w:rtl/>
        </w:rPr>
      </w:pPr>
      <w:r>
        <w:rPr>
          <w:rStyle w:val="a6"/>
        </w:rPr>
        <w:footnoteRef/>
      </w:r>
      <w:r>
        <w:rPr>
          <w:rFonts w:hint="cs"/>
          <w:rtl/>
        </w:rPr>
        <w:t xml:space="preserve"> </w:t>
      </w:r>
      <w:r>
        <w:rPr>
          <w:rFonts w:eastAsia="MS Mincho"/>
          <w:sz w:val="26"/>
          <w:rtl/>
        </w:rPr>
        <w:t>כן הוא לפי תרגום הר"י קאפח. בתרגום המודפס (מאת ר' יוסף ב"ר יצחק בן אלפואל) נאמר: "להסיר הכִּנים מבגדיו", והיינו כרש"י. ר' תנחום הירושלמי (במילונו בשפה הערבית) אומר כי המלה הערבית שבה משתמש כאן הרמב"ם</w:t>
      </w:r>
      <w:r>
        <w:rPr>
          <w:rFonts w:eastAsia="MS Mincho" w:hint="cs"/>
          <w:sz w:val="26"/>
          <w:rtl/>
        </w:rPr>
        <w:t>,</w:t>
      </w:r>
      <w:r>
        <w:rPr>
          <w:rFonts w:eastAsia="MS Mincho"/>
          <w:sz w:val="26"/>
          <w:rtl/>
        </w:rPr>
        <w:t xml:space="preserve"> יש אומרים שהיא נגזרת מהתרגום הארמי "תפלי", במשמע: לבדוק ולהוציא ולהרחיק. ידידי ר' דורון יעקב, שתרגם עבורי את הדברים מערבית, הוסיף והתייעץ עם פרופ' בלאו יבל"א, שאמר לו כי אי אפשר להכריע: פעולות שהן קשורות ותלויות זו בזו יכולות להיות מובעות באותו פועל, ולכן אין לדעת אם "יפלי" ברמב"ם כוונתו לסלק או רק לבדוק.</w:t>
      </w:r>
    </w:p>
  </w:footnote>
  <w:footnote w:id="3">
    <w:p w14:paraId="47F7529F" w14:textId="77777777" w:rsidR="00063EA9" w:rsidRDefault="00063EA9">
      <w:pPr>
        <w:pStyle w:val="a7"/>
        <w:rPr>
          <w:rFonts w:hint="cs"/>
          <w:rtl/>
        </w:rPr>
      </w:pPr>
      <w:r>
        <w:rPr>
          <w:rStyle w:val="a6"/>
        </w:rPr>
        <w:footnoteRef/>
      </w:r>
      <w:r>
        <w:rPr>
          <w:rFonts w:hint="cs"/>
          <w:rtl/>
        </w:rPr>
        <w:t xml:space="preserve"> </w:t>
      </w:r>
      <w:r>
        <w:rPr>
          <w:rFonts w:eastAsia="MS Mincho"/>
          <w:sz w:val="26"/>
          <w:rtl/>
        </w:rPr>
        <w:t>לא נראה שהרמב"ם מתכוון לפרש ש"יפלה" הוא רק לבדוק ולחפש אחרי הכִּנים, ולא גם לסלק אותם (כפי שפרש רש"י). כוונתו ש"יפלה" היינו "יבדוק בגדיו מהכִּנים" על מנת לסלֵק את הכִּנים מהבגד.</w:t>
      </w:r>
    </w:p>
  </w:footnote>
  <w:footnote w:id="4">
    <w:p w14:paraId="762966E4" w14:textId="77777777" w:rsidR="00063EA9" w:rsidRDefault="00063EA9">
      <w:pPr>
        <w:pStyle w:val="a7"/>
        <w:rPr>
          <w:rFonts w:hint="cs"/>
          <w:rtl/>
        </w:rPr>
      </w:pPr>
      <w:r>
        <w:rPr>
          <w:rStyle w:val="a6"/>
        </w:rPr>
        <w:footnoteRef/>
      </w:r>
      <w:r>
        <w:rPr>
          <w:rFonts w:hint="cs"/>
          <w:rtl/>
        </w:rPr>
        <w:t xml:space="preserve"> </w:t>
      </w:r>
      <w:r>
        <w:rPr>
          <w:rFonts w:eastAsia="MS Mincho"/>
          <w:rtl/>
        </w:rPr>
        <w:t xml:space="preserve">לוּ הסתייע רש"י בכתוב "אֲשֶׁר </w:t>
      </w:r>
      <w:r>
        <w:rPr>
          <w:rFonts w:eastAsia="MS Mincho"/>
          <w:b/>
          <w:bCs/>
          <w:rtl/>
        </w:rPr>
        <w:t>יַפְלֶה</w:t>
      </w:r>
      <w:r>
        <w:rPr>
          <w:rFonts w:eastAsia="MS Mincho"/>
          <w:rtl/>
        </w:rPr>
        <w:t xml:space="preserve"> ה' בֵּין מִצְרַיִם וּבֵין יִשְׂרָאֵל" (</w:t>
      </w:r>
      <w:r>
        <w:rPr>
          <w:rFonts w:eastAsia="MS Mincho"/>
          <w:sz w:val="18"/>
          <w:szCs w:val="20"/>
          <w:rtl/>
        </w:rPr>
        <w:t>שמות יא, ז</w:t>
      </w:r>
      <w:r>
        <w:rPr>
          <w:rFonts w:eastAsia="MS Mincho"/>
          <w:rtl/>
        </w:rPr>
        <w:t>) והיה מפרש שהוא לשון "הבְדלה והפְרדה", היה ניתן להסביר שבביעור הכִּנים מן הבגד גם הבגד מופרד מן הכִּנים שהיו בו, ויאות לומר "לא יפלה את כליו [מן הכִּנים שבכליו]".</w:t>
      </w:r>
      <w:r>
        <w:rPr>
          <w:rFonts w:eastAsia="MS Mincho" w:hint="cs"/>
          <w:rtl/>
        </w:rPr>
        <w:t xml:space="preserve"> אך, כאמור, רש"י חִבֵּר את "</w:t>
      </w:r>
      <w:r>
        <w:rPr>
          <w:rtl/>
        </w:rPr>
        <w:t>יפלה את כֵּליו</w:t>
      </w:r>
      <w:r>
        <w:rPr>
          <w:rFonts w:hint="cs"/>
          <w:rtl/>
        </w:rPr>
        <w:t xml:space="preserve">" עם ביעור מעשרות, ואם כן מקבל הפעולה של "יפלה" אינם הכלים אלא </w:t>
      </w:r>
      <w:r>
        <w:rPr>
          <w:rFonts w:eastAsia="MS Mincho"/>
          <w:rtl/>
        </w:rPr>
        <w:t>הכִּנים</w:t>
      </w:r>
      <w:r>
        <w:rPr>
          <w:rFonts w:hint="cs"/>
          <w:rtl/>
        </w:rPr>
        <w:t xml:space="preserve">, שהרי </w:t>
      </w:r>
      <w:r>
        <w:rPr>
          <w:rFonts w:eastAsia="MS Mincho"/>
          <w:rtl/>
        </w:rPr>
        <w:t xml:space="preserve">הכִּנים </w:t>
      </w:r>
      <w:r>
        <w:rPr>
          <w:rFonts w:hint="cs"/>
          <w:rtl/>
        </w:rPr>
        <w:t>הן המסולקות והמבוערות.</w:t>
      </w:r>
    </w:p>
  </w:footnote>
  <w:footnote w:id="5">
    <w:p w14:paraId="2D5D1D75" w14:textId="77777777" w:rsidR="00063EA9" w:rsidRDefault="00063EA9">
      <w:pPr>
        <w:pStyle w:val="a7"/>
        <w:rPr>
          <w:rFonts w:hint="cs"/>
          <w:rtl/>
        </w:rPr>
      </w:pPr>
      <w:r>
        <w:rPr>
          <w:rStyle w:val="a6"/>
          <w:rtl/>
        </w:rPr>
        <w:footnoteRef/>
      </w:r>
      <w:r>
        <w:t xml:space="preserve"> </w:t>
      </w:r>
      <w:r>
        <w:rPr>
          <w:rFonts w:hint="cs"/>
          <w:rtl/>
        </w:rPr>
        <w:t xml:space="preserve">שתי קושיות סִגנוניות כאן: </w:t>
      </w:r>
      <w:r>
        <w:rPr>
          <w:rFonts w:hint="cs"/>
          <w:b/>
          <w:bCs/>
          <w:rtl/>
        </w:rPr>
        <w:t xml:space="preserve">א) </w:t>
      </w:r>
      <w:r>
        <w:rPr>
          <w:rFonts w:hint="cs"/>
          <w:rtl/>
        </w:rPr>
        <w:t>במשפט זה חסר המושא (מקבל הפעולה): "</w:t>
      </w:r>
      <w:r>
        <w:rPr>
          <w:rFonts w:eastAsia="MS Mincho"/>
          <w:rtl/>
        </w:rPr>
        <w:t>כִּנים</w:t>
      </w:r>
      <w:r>
        <w:rPr>
          <w:rFonts w:eastAsia="MS Mincho" w:hint="cs"/>
          <w:rtl/>
        </w:rPr>
        <w:t>"</w:t>
      </w:r>
      <w:r>
        <w:rPr>
          <w:rFonts w:hint="cs"/>
          <w:rtl/>
        </w:rPr>
        <w:t xml:space="preserve">.  </w:t>
      </w:r>
      <w:r>
        <w:rPr>
          <w:rFonts w:hint="cs"/>
          <w:b/>
          <w:bCs/>
          <w:rtl/>
        </w:rPr>
        <w:t xml:space="preserve">ב) </w:t>
      </w:r>
      <w:r>
        <w:rPr>
          <w:rFonts w:hint="cs"/>
          <w:rtl/>
        </w:rPr>
        <w:t>יש כאן שימוש נדיר במלת היחס המקדימה את "</w:t>
      </w:r>
      <w:r>
        <w:rPr>
          <w:rtl/>
        </w:rPr>
        <w:t>כליו"</w:t>
      </w:r>
      <w:r>
        <w:rPr>
          <w:rFonts w:hint="cs"/>
          <w:rtl/>
        </w:rPr>
        <w:t>: "</w:t>
      </w:r>
      <w:r>
        <w:rPr>
          <w:rtl/>
          <w:lang w:eastAsia="he-IL"/>
        </w:rPr>
        <w:t>אֶת</w:t>
      </w:r>
      <w:r>
        <w:rPr>
          <w:rFonts w:hint="cs"/>
          <w:rtl/>
        </w:rPr>
        <w:t>" במשמעות "מן" (</w:t>
      </w:r>
      <w:r>
        <w:rPr>
          <w:rFonts w:hint="cs"/>
          <w:sz w:val="18"/>
          <w:szCs w:val="20"/>
          <w:rtl/>
        </w:rPr>
        <w:t>המקוצרת לפעמים לאות מ' השימוש</w:t>
      </w:r>
      <w:r>
        <w:rPr>
          <w:rFonts w:hint="cs"/>
          <w:rtl/>
        </w:rPr>
        <w:t>). אמנם, כפי שהעירני שכֵני</w:t>
      </w:r>
      <w:r>
        <w:rPr>
          <w:rFonts w:hint="cs"/>
          <w:sz w:val="26"/>
          <w:rtl/>
        </w:rPr>
        <w:t xml:space="preserve"> הרב יצחק סמואל</w:t>
      </w:r>
      <w:r>
        <w:rPr>
          <w:rFonts w:hint="cs"/>
          <w:rtl/>
        </w:rPr>
        <w:t xml:space="preserve">, מצאנו </w:t>
      </w:r>
      <w:r>
        <w:rPr>
          <w:rtl/>
        </w:rPr>
        <w:t>כבר בלשון המקרא תופעות חריגות כאלה</w:t>
      </w:r>
      <w:r>
        <w:rPr>
          <w:rFonts w:hint="cs"/>
          <w:rtl/>
        </w:rPr>
        <w:t xml:space="preserve">, </w:t>
      </w:r>
      <w:r>
        <w:rPr>
          <w:rtl/>
        </w:rPr>
        <w:t xml:space="preserve">כגון בדברי הימים </w:t>
      </w:r>
      <w:r>
        <w:rPr>
          <w:rFonts w:hint="cs"/>
          <w:rtl/>
        </w:rPr>
        <w:t>(</w:t>
      </w:r>
      <w:r>
        <w:rPr>
          <w:rtl/>
        </w:rPr>
        <w:t>א' ב, יח</w:t>
      </w:r>
      <w:r>
        <w:rPr>
          <w:rFonts w:hint="cs"/>
          <w:rtl/>
        </w:rPr>
        <w:t>)</w:t>
      </w:r>
      <w:r>
        <w:rPr>
          <w:rtl/>
        </w:rPr>
        <w:t>: "וְכָלֵב בֶּן חֶצְרוֹן הוֹלִיד אֶת עֲזוּבָה אִשָּׁה וְאֶת יְרִיעוֹת</w:t>
      </w:r>
      <w:r>
        <w:rPr>
          <w:rFonts w:hint="cs"/>
          <w:rtl/>
        </w:rPr>
        <w:t>,</w:t>
      </w:r>
      <w:r>
        <w:rPr>
          <w:rtl/>
        </w:rPr>
        <w:t xml:space="preserve"> וְאֵלֶּה בָנֶיהָ יֵשֶׁר וְשׁוֹבָב וְאַרְדּוֹן", </w:t>
      </w:r>
      <w:r>
        <w:rPr>
          <w:rFonts w:hint="cs"/>
          <w:rtl/>
        </w:rPr>
        <w:t xml:space="preserve">ופרש </w:t>
      </w:r>
      <w:r>
        <w:rPr>
          <w:rtl/>
        </w:rPr>
        <w:t>רד"ק: "ולפי דעתי 'אֶת' זה כמו 'מִן', וכן 'כְּצֵאתִי אֶת הָעִיר' (</w:t>
      </w:r>
      <w:r>
        <w:rPr>
          <w:sz w:val="18"/>
          <w:szCs w:val="20"/>
          <w:rtl/>
        </w:rPr>
        <w:t>שמות ט, כט</w:t>
      </w:r>
      <w:r>
        <w:rPr>
          <w:rFonts w:hint="cs"/>
          <w:rtl/>
          <w:lang w:eastAsia="he-IL"/>
        </w:rPr>
        <w:t xml:space="preserve">) </w:t>
      </w:r>
      <w:r>
        <w:rPr>
          <w:rtl/>
          <w:lang w:eastAsia="he-IL"/>
        </w:rPr>
        <w:t>ואחרים זולתו</w:t>
      </w:r>
      <w:r>
        <w:rPr>
          <w:rFonts w:hint="cs"/>
          <w:rtl/>
          <w:lang w:eastAsia="he-IL"/>
        </w:rPr>
        <w:t xml:space="preserve"> </w:t>
      </w:r>
      <w:r>
        <w:rPr>
          <w:rtl/>
          <w:lang w:eastAsia="he-IL"/>
        </w:rPr>
        <w:t>(</w:t>
      </w:r>
      <w:r>
        <w:rPr>
          <w:szCs w:val="20"/>
          <w:rtl/>
          <w:lang w:eastAsia="he-IL"/>
        </w:rPr>
        <w:t>ראה בראשית ו, יג רש"י ד"ה את הארץ</w:t>
      </w:r>
      <w:r>
        <w:rPr>
          <w:rFonts w:hint="cs"/>
          <w:szCs w:val="20"/>
          <w:rtl/>
          <w:lang w:eastAsia="he-IL"/>
        </w:rPr>
        <w:t>, ו</w:t>
      </w:r>
      <w:r>
        <w:rPr>
          <w:sz w:val="18"/>
          <w:szCs w:val="20"/>
          <w:rtl/>
        </w:rPr>
        <w:t xml:space="preserve">רד"ק </w:t>
      </w:r>
      <w:r>
        <w:rPr>
          <w:rFonts w:hint="cs"/>
          <w:sz w:val="18"/>
          <w:szCs w:val="20"/>
          <w:rtl/>
        </w:rPr>
        <w:t>ל</w:t>
      </w:r>
      <w:r>
        <w:rPr>
          <w:sz w:val="18"/>
          <w:szCs w:val="20"/>
          <w:rtl/>
        </w:rPr>
        <w:t>יחזקאל ו</w:t>
      </w:r>
      <w:r>
        <w:rPr>
          <w:rFonts w:hint="cs"/>
          <w:sz w:val="18"/>
          <w:szCs w:val="20"/>
          <w:rtl/>
        </w:rPr>
        <w:t xml:space="preserve">, </w:t>
      </w:r>
      <w:r>
        <w:rPr>
          <w:sz w:val="18"/>
          <w:szCs w:val="20"/>
          <w:rtl/>
        </w:rPr>
        <w:t xml:space="preserve">ט </w:t>
      </w:r>
      <w:r>
        <w:rPr>
          <w:rFonts w:hint="cs"/>
          <w:sz w:val="18"/>
          <w:szCs w:val="20"/>
          <w:rtl/>
        </w:rPr>
        <w:t>"</w:t>
      </w:r>
      <w:r>
        <w:rPr>
          <w:sz w:val="18"/>
          <w:szCs w:val="20"/>
          <w:rtl/>
        </w:rPr>
        <w:t>נִשְׁבַּרְתִּי אֶת לִבָּם הַזּוֹנֶה</w:t>
      </w:r>
      <w:r>
        <w:rPr>
          <w:rFonts w:hint="cs"/>
          <w:sz w:val="18"/>
          <w:szCs w:val="20"/>
          <w:rtl/>
        </w:rPr>
        <w:t>"</w:t>
      </w:r>
      <w:r>
        <w:rPr>
          <w:rtl/>
          <w:lang w:eastAsia="he-IL"/>
        </w:rPr>
        <w:t>), וכן פירוש הפסוק</w:t>
      </w:r>
      <w:r>
        <w:rPr>
          <w:rFonts w:hint="cs"/>
          <w:rtl/>
          <w:lang w:eastAsia="he-IL"/>
        </w:rPr>
        <w:t>:</w:t>
      </w:r>
      <w:r>
        <w:rPr>
          <w:rtl/>
          <w:lang w:eastAsia="he-IL"/>
        </w:rPr>
        <w:t xml:space="preserve"> וְכָלֵב בֶּן חֶצְרוֹן הוֹלִיד מן עֲזוּבָה אשתו מן יְרִיעוֹת</w:t>
      </w:r>
      <w:r>
        <w:rPr>
          <w:rFonts w:hint="cs"/>
          <w:rtl/>
          <w:lang w:eastAsia="he-IL"/>
        </w:rPr>
        <w:t xml:space="preserve">, </w:t>
      </w:r>
      <w:r>
        <w:rPr>
          <w:rtl/>
          <w:lang w:eastAsia="he-IL"/>
        </w:rPr>
        <w:t>שתיהם היו נשיו</w:t>
      </w:r>
      <w:r>
        <w:rPr>
          <w:rFonts w:hint="cs"/>
          <w:rtl/>
          <w:lang w:eastAsia="he-IL"/>
        </w:rPr>
        <w:t>,</w:t>
      </w:r>
      <w:r>
        <w:rPr>
          <w:rtl/>
          <w:lang w:eastAsia="he-IL"/>
        </w:rPr>
        <w:t xml:space="preserve"> ומשתיהן היו לו בני</w:t>
      </w:r>
      <w:r>
        <w:rPr>
          <w:rFonts w:hint="cs"/>
          <w:rtl/>
          <w:lang w:eastAsia="he-IL"/>
        </w:rPr>
        <w:t>ם,</w:t>
      </w:r>
      <w:r>
        <w:rPr>
          <w:rtl/>
          <w:lang w:eastAsia="he-IL"/>
        </w:rPr>
        <w:t xml:space="preserve"> וק</w:t>
      </w:r>
      <w:r>
        <w:rPr>
          <w:rFonts w:hint="cs"/>
          <w:rtl/>
          <w:lang w:eastAsia="he-IL"/>
        </w:rPr>
        <w:t>ִ</w:t>
      </w:r>
      <w:r>
        <w:rPr>
          <w:rtl/>
          <w:lang w:eastAsia="he-IL"/>
        </w:rPr>
        <w:t>צ</w:t>
      </w:r>
      <w:r>
        <w:rPr>
          <w:rFonts w:hint="cs"/>
          <w:rtl/>
          <w:lang w:eastAsia="he-IL"/>
        </w:rPr>
        <w:t>ֵּ</w:t>
      </w:r>
      <w:r>
        <w:rPr>
          <w:rtl/>
          <w:lang w:eastAsia="he-IL"/>
        </w:rPr>
        <w:t>ר התולדה ולא זכר את בני האחת</w:t>
      </w:r>
      <w:r>
        <w:rPr>
          <w:rFonts w:hint="cs"/>
          <w:rtl/>
          <w:lang w:eastAsia="he-IL"/>
        </w:rPr>
        <w:t xml:space="preserve">...". אעפ"כ, מידי דוחק לא יצאנו, וכבר כתב </w:t>
      </w:r>
      <w:r>
        <w:rPr>
          <w:rtl/>
          <w:lang w:eastAsia="he-IL"/>
        </w:rPr>
        <w:t>הרמב"ן בהקדמתו לפירושו על הרי"ף, "מלחמת ה'": "ואתה המסתכל בספרי אל תאמר בלבבך כי כל תשובתי על הרב רבי זרחיה ז"ל (בעל המאור) כולן בעיני תשובות נִצחות, ומכריחות אותך להודות בהם על פני עקשותך, ותתפאר בהיותך</w:t>
      </w:r>
      <w:r>
        <w:rPr>
          <w:rFonts w:hint="cs"/>
          <w:rtl/>
          <w:lang w:eastAsia="he-IL"/>
        </w:rPr>
        <w:t xml:space="preserve"> </w:t>
      </w:r>
      <w:r>
        <w:rPr>
          <w:rtl/>
          <w:lang w:eastAsia="he-IL"/>
        </w:rPr>
        <w:t>מספק אחת מהן על לומדיה, או תטריח על דעתך להכנס בנקב המחט לדחות מעליך הכרח ראיותי, אין הדבר כן, כי יודע כל לומד תלמודנו שאין במחלוקת מפרשיו ראיות גמורות, ולא ברוב קושיות חלוטות, שאין בחכמה הזאת מופת ברור כגון</w:t>
      </w:r>
      <w:r>
        <w:rPr>
          <w:rFonts w:hint="cs"/>
          <w:rtl/>
          <w:lang w:eastAsia="he-IL"/>
        </w:rPr>
        <w:t xml:space="preserve"> </w:t>
      </w:r>
      <w:r>
        <w:rPr>
          <w:rtl/>
          <w:lang w:eastAsia="he-IL"/>
        </w:rPr>
        <w:t>חשבוני התשבורת</w:t>
      </w:r>
      <w:r>
        <w:rPr>
          <w:rFonts w:hint="cs"/>
          <w:rtl/>
          <w:lang w:eastAsia="he-IL"/>
        </w:rPr>
        <w:t xml:space="preserve"> </w:t>
      </w:r>
      <w:r>
        <w:rPr>
          <w:rtl/>
          <w:lang w:eastAsia="he-IL"/>
        </w:rPr>
        <w:t>ונ</w:t>
      </w:r>
      <w:r>
        <w:rPr>
          <w:rFonts w:hint="cs"/>
          <w:rtl/>
          <w:lang w:eastAsia="he-IL"/>
        </w:rPr>
        <w:t>ִ</w:t>
      </w:r>
      <w:r>
        <w:rPr>
          <w:rtl/>
          <w:lang w:eastAsia="he-IL"/>
        </w:rPr>
        <w:t>סיוני התכונה. אבל נשים כל מאֹדֵנו ודיינו [</w:t>
      </w:r>
      <w:r>
        <w:rPr>
          <w:sz w:val="18"/>
          <w:szCs w:val="20"/>
          <w:rtl/>
          <w:lang w:eastAsia="he-IL"/>
        </w:rPr>
        <w:t>בהקדמת שו"ת יביע אומר ח"א: ודעתינו</w:t>
      </w:r>
      <w:r>
        <w:rPr>
          <w:rtl/>
          <w:lang w:eastAsia="he-IL"/>
        </w:rPr>
        <w:t>] בכל מחלוקת בהרחיק אחת מן הדעות בסברות מכריעות, ונדחוק עליה השמועות, ונשים יתרון הכשר לבעל דינה מפשטי ההלכות והוגן הסוגיות עם</w:t>
      </w:r>
      <w:r>
        <w:rPr>
          <w:rFonts w:hint="cs"/>
          <w:rtl/>
          <w:lang w:eastAsia="he-IL"/>
        </w:rPr>
        <w:t xml:space="preserve"> </w:t>
      </w:r>
      <w:r>
        <w:rPr>
          <w:rtl/>
          <w:lang w:eastAsia="he-IL"/>
        </w:rPr>
        <w:t>הסכמת השכל הנכון, וזאת תכלית יכלתינו וכוונת כל חכם וירא האלוקים בחכמת הגמרא".</w:t>
      </w:r>
    </w:p>
  </w:footnote>
  <w:footnote w:id="6">
    <w:p w14:paraId="683FE93E" w14:textId="77777777" w:rsidR="00063EA9" w:rsidRDefault="00063EA9">
      <w:pPr>
        <w:pStyle w:val="a7"/>
        <w:rPr>
          <w:rFonts w:hint="cs"/>
          <w:rtl/>
        </w:rPr>
      </w:pPr>
      <w:r>
        <w:rPr>
          <w:rStyle w:val="a6"/>
        </w:rPr>
        <w:footnoteRef/>
      </w:r>
      <w:r>
        <w:rPr>
          <w:rFonts w:hint="cs"/>
          <w:rtl/>
        </w:rPr>
        <w:t xml:space="preserve"> </w:t>
      </w:r>
      <w:r>
        <w:rPr>
          <w:rFonts w:eastAsia="MS Mincho" w:hint="cs"/>
          <w:sz w:val="26"/>
          <w:rtl/>
        </w:rPr>
        <w:t>השוה ל</w:t>
      </w:r>
      <w:r>
        <w:rPr>
          <w:rFonts w:eastAsia="MS Mincho"/>
          <w:sz w:val="26"/>
          <w:rtl/>
        </w:rPr>
        <w:t>נאמר במדור "שינויי נוסחאות" (</w:t>
      </w:r>
      <w:r>
        <w:rPr>
          <w:rFonts w:eastAsia="MS Mincho"/>
          <w:sz w:val="18"/>
          <w:szCs w:val="20"/>
          <w:rtl/>
        </w:rPr>
        <w:t>במשניות ע"א פירושים</w:t>
      </w:r>
      <w:r>
        <w:rPr>
          <w:rFonts w:eastAsia="MS Mincho"/>
          <w:sz w:val="26"/>
          <w:rtl/>
        </w:rPr>
        <w:t>): "ושמואל אמר... 'להבחין'... וא"כ יסבול המאמר 'ולא יפלה' דמתניתין גם ההוראה דהבדלה בין בגד לבגד וכדומה" וכו'.</w:t>
      </w:r>
    </w:p>
  </w:footnote>
  <w:footnote w:id="7">
    <w:p w14:paraId="76E3E442" w14:textId="77777777" w:rsidR="00063EA9" w:rsidRDefault="00063EA9">
      <w:pPr>
        <w:pStyle w:val="a7"/>
        <w:rPr>
          <w:rFonts w:hint="cs"/>
          <w:rtl/>
        </w:rPr>
      </w:pPr>
      <w:r>
        <w:rPr>
          <w:rStyle w:val="a6"/>
        </w:rPr>
        <w:footnoteRef/>
      </w:r>
      <w:r>
        <w:rPr>
          <w:rFonts w:hint="cs"/>
          <w:rtl/>
        </w:rPr>
        <w:t xml:space="preserve"> </w:t>
      </w:r>
      <w:r>
        <w:rPr>
          <w:rFonts w:eastAsia="MS Mincho"/>
          <w:sz w:val="26"/>
          <w:rtl/>
        </w:rPr>
        <w:t>"מטונימיה" בלעז, דהיינו: תחליף של מִלה עבור מִלה אחרת, כשהחילופים מבוססים על קירבה וסמיכות עניינים נסיבתיים (</w:t>
      </w:r>
      <w:r>
        <w:rPr>
          <w:rFonts w:eastAsia="MS Mincho"/>
          <w:sz w:val="18"/>
          <w:szCs w:val="20"/>
          <w:rtl/>
        </w:rPr>
        <w:t>ע"פ: אהרן קומם, "המטונימיה", בתוך: אשל באר שבע, עמ' 334</w:t>
      </w:r>
      <w:r>
        <w:rPr>
          <w:rFonts w:eastAsia="MS Mincho"/>
          <w:sz w:val="26"/>
          <w:rtl/>
        </w:rPr>
        <w:t>).</w:t>
      </w:r>
    </w:p>
  </w:footnote>
  <w:footnote w:id="8">
    <w:p w14:paraId="1FB8B808" w14:textId="77777777" w:rsidR="00063EA9" w:rsidRDefault="00063EA9">
      <w:pPr>
        <w:pStyle w:val="a7"/>
        <w:rPr>
          <w:rFonts w:hint="cs"/>
          <w:sz w:val="18"/>
          <w:szCs w:val="20"/>
          <w:rtl/>
        </w:rPr>
      </w:pPr>
      <w:r>
        <w:rPr>
          <w:rStyle w:val="a6"/>
        </w:rPr>
        <w:footnoteRef/>
      </w:r>
      <w:r>
        <w:rPr>
          <w:rFonts w:hint="cs"/>
          <w:rtl/>
        </w:rPr>
        <w:t xml:space="preserve"> </w:t>
      </w:r>
      <w:r>
        <w:rPr>
          <w:rFonts w:eastAsia="MS Mincho"/>
          <w:sz w:val="26"/>
          <w:rtl/>
        </w:rPr>
        <w:t>ראה: העיטור (</w:t>
      </w:r>
      <w:r>
        <w:rPr>
          <w:rFonts w:eastAsia="MS Mincho"/>
          <w:sz w:val="18"/>
          <w:szCs w:val="20"/>
          <w:rtl/>
        </w:rPr>
        <w:t>הלכות ביעור חמץ דף קכ, ב</w:t>
      </w:r>
      <w:r>
        <w:rPr>
          <w:rFonts w:eastAsia="MS Mincho"/>
          <w:sz w:val="26"/>
          <w:rtl/>
        </w:rPr>
        <w:t>): "ואנו מברכין 'על ביעור' שהיא לשון בדיקה ולשון ביעור"; חידושי הריטב"א (</w:t>
      </w:r>
      <w:r>
        <w:rPr>
          <w:rFonts w:eastAsia="MS Mincho"/>
          <w:sz w:val="18"/>
          <w:szCs w:val="20"/>
          <w:rtl/>
        </w:rPr>
        <w:t>פסחים ז, א ד"ה ולכו"ע</w:t>
      </w:r>
      <w:r>
        <w:rPr>
          <w:rFonts w:eastAsia="MS Mincho"/>
          <w:sz w:val="26"/>
          <w:rtl/>
        </w:rPr>
        <w:t>): "כי 'ביעור' כולל הכל: השבתה ושריפה ואף הבדיקה... לפיכך תקנוה בלשון כולל"; הרא"ה מלוניל: "ולכך תקנו לומר לשון ביעור שהוא כולל הכל: בדיקה וביעור וביטול"</w:t>
      </w:r>
      <w:r>
        <w:rPr>
          <w:rFonts w:eastAsia="MS Mincho" w:hint="cs"/>
          <w:sz w:val="26"/>
          <w:rtl/>
        </w:rPr>
        <w:t xml:space="preserve"> </w:t>
      </w:r>
      <w:r>
        <w:rPr>
          <w:rFonts w:eastAsia="MS Mincho"/>
          <w:sz w:val="26"/>
          <w:rtl/>
        </w:rPr>
        <w:t>(</w:t>
      </w:r>
      <w:r>
        <w:rPr>
          <w:rFonts w:eastAsia="MS Mincho"/>
          <w:sz w:val="18"/>
          <w:szCs w:val="20"/>
          <w:rtl/>
        </w:rPr>
        <w:t>מובא בשו"ת יחל ישראל מאת הרי"מ לאו, סימן ז'</w:t>
      </w:r>
      <w:r>
        <w:rPr>
          <w:rFonts w:eastAsia="MS Mincho" w:hint="cs"/>
          <w:sz w:val="18"/>
          <w:szCs w:val="20"/>
          <w:rtl/>
        </w:rPr>
        <w:t xml:space="preserve">; וע"ע </w:t>
      </w:r>
      <w:r>
        <w:rPr>
          <w:rFonts w:eastAsia="MS Mincho"/>
          <w:sz w:val="18"/>
          <w:szCs w:val="20"/>
          <w:rtl/>
        </w:rPr>
        <w:t>רא"ש</w:t>
      </w:r>
      <w:r>
        <w:rPr>
          <w:rFonts w:eastAsia="MS Mincho" w:hint="cs"/>
          <w:sz w:val="18"/>
          <w:szCs w:val="20"/>
          <w:rtl/>
        </w:rPr>
        <w:t>,</w:t>
      </w:r>
      <w:r>
        <w:rPr>
          <w:rFonts w:eastAsia="MS Mincho"/>
          <w:sz w:val="18"/>
          <w:szCs w:val="20"/>
          <w:rtl/>
        </w:rPr>
        <w:t xml:space="preserve"> פסחים פ"א סימן י</w:t>
      </w:r>
      <w:r>
        <w:rPr>
          <w:rFonts w:eastAsia="MS Mincho" w:hint="cs"/>
          <w:sz w:val="18"/>
          <w:szCs w:val="20"/>
          <w:rtl/>
        </w:rPr>
        <w:t>'</w:t>
      </w:r>
      <w:r>
        <w:rPr>
          <w:rFonts w:eastAsia="MS Mincho"/>
          <w:sz w:val="26"/>
          <w:rtl/>
        </w:rPr>
        <w:t>)</w:t>
      </w:r>
      <w:r>
        <w:rPr>
          <w:rFonts w:eastAsia="MS Mincho" w:hint="cs"/>
          <w:sz w:val="26"/>
          <w:rtl/>
        </w:rPr>
        <w:t>. יתכן שעצם החובה לבדוק ו</w:t>
      </w:r>
      <w:r>
        <w:rPr>
          <w:rFonts w:eastAsia="MS Mincho"/>
          <w:sz w:val="26"/>
          <w:rtl/>
        </w:rPr>
        <w:t>לחפש אחר</w:t>
      </w:r>
      <w:r>
        <w:rPr>
          <w:rFonts w:eastAsia="MS Mincho" w:hint="cs"/>
          <w:sz w:val="26"/>
          <w:rtl/>
        </w:rPr>
        <w:t xml:space="preserve"> חמץ </w:t>
      </w:r>
      <w:r>
        <w:rPr>
          <w:rFonts w:eastAsia="MS Mincho" w:hint="cs"/>
          <w:sz w:val="18"/>
          <w:szCs w:val="20"/>
          <w:rtl/>
        </w:rPr>
        <w:t xml:space="preserve">(היינו "לבער" בלשון חכמים) </w:t>
      </w:r>
      <w:r>
        <w:rPr>
          <w:rFonts w:eastAsia="MS Mincho" w:hint="cs"/>
          <w:sz w:val="26"/>
          <w:rtl/>
        </w:rPr>
        <w:t xml:space="preserve">היא הרחבה של דין התורה להשביתו </w:t>
      </w:r>
      <w:r>
        <w:rPr>
          <w:rFonts w:eastAsia="MS Mincho" w:hint="cs"/>
          <w:sz w:val="18"/>
          <w:szCs w:val="20"/>
          <w:rtl/>
        </w:rPr>
        <w:t>(היינו "</w:t>
      </w:r>
      <w:r>
        <w:rPr>
          <w:rFonts w:eastAsia="MS Mincho"/>
          <w:sz w:val="18"/>
          <w:szCs w:val="20"/>
          <w:rtl/>
        </w:rPr>
        <w:t>לבער</w:t>
      </w:r>
      <w:r>
        <w:rPr>
          <w:rFonts w:eastAsia="MS Mincho" w:hint="cs"/>
          <w:sz w:val="18"/>
          <w:szCs w:val="20"/>
          <w:rtl/>
        </w:rPr>
        <w:t>" במשמעו הראשוני</w:t>
      </w:r>
      <w:r>
        <w:rPr>
          <w:rFonts w:eastAsia="MS Mincho"/>
          <w:sz w:val="18"/>
          <w:szCs w:val="20"/>
          <w:rtl/>
        </w:rPr>
        <w:t>, כ</w:t>
      </w:r>
      <w:r>
        <w:rPr>
          <w:rFonts w:eastAsia="MS Mincho" w:hint="cs"/>
          <w:sz w:val="18"/>
          <w:szCs w:val="20"/>
          <w:rtl/>
        </w:rPr>
        <w:t>נ"ל: "</w:t>
      </w:r>
      <w:r>
        <w:rPr>
          <w:rFonts w:hint="cs"/>
          <w:szCs w:val="20"/>
          <w:rtl/>
        </w:rPr>
        <w:t>בִּעַרְתִּי</w:t>
      </w:r>
      <w:r>
        <w:rPr>
          <w:rFonts w:eastAsia="MS Mincho" w:hint="cs"/>
          <w:sz w:val="18"/>
          <w:szCs w:val="20"/>
          <w:rtl/>
        </w:rPr>
        <w:t>"</w:t>
      </w:r>
      <w:r>
        <w:rPr>
          <w:rFonts w:eastAsia="MS Mincho"/>
          <w:sz w:val="18"/>
          <w:szCs w:val="20"/>
          <w:rtl/>
        </w:rPr>
        <w:t>).</w:t>
      </w:r>
    </w:p>
  </w:footnote>
  <w:footnote w:id="9">
    <w:p w14:paraId="0C78CEB8" w14:textId="77777777" w:rsidR="00063EA9" w:rsidRDefault="00063EA9">
      <w:pPr>
        <w:pStyle w:val="a7"/>
        <w:rPr>
          <w:rFonts w:hint="cs"/>
          <w:rtl/>
        </w:rPr>
      </w:pPr>
      <w:r>
        <w:rPr>
          <w:rStyle w:val="a6"/>
        </w:rPr>
        <w:footnoteRef/>
      </w:r>
      <w:r>
        <w:rPr>
          <w:rFonts w:hint="cs"/>
          <w:rtl/>
        </w:rPr>
        <w:t xml:space="preserve"> </w:t>
      </w:r>
      <w:r>
        <w:rPr>
          <w:rFonts w:eastAsia="MS Mincho"/>
          <w:sz w:val="26"/>
          <w:rtl/>
        </w:rPr>
        <w:t>יתכן שבשלושה פסוקים בספר מלכים (</w:t>
      </w:r>
      <w:r>
        <w:rPr>
          <w:rFonts w:eastAsia="MS Mincho"/>
          <w:sz w:val="18"/>
          <w:szCs w:val="20"/>
          <w:rtl/>
        </w:rPr>
        <w:t xml:space="preserve">א' יד, י: </w:t>
      </w:r>
      <w:r>
        <w:rPr>
          <w:rFonts w:eastAsia="MS Mincho"/>
          <w:sz w:val="26"/>
          <w:rtl/>
        </w:rPr>
        <w:t>"</w:t>
      </w:r>
      <w:r>
        <w:rPr>
          <w:rFonts w:eastAsia="MS Mincho"/>
          <w:b/>
          <w:bCs/>
          <w:sz w:val="26"/>
          <w:rtl/>
        </w:rPr>
        <w:t>וּבִעַרְתִּי</w:t>
      </w:r>
      <w:r>
        <w:rPr>
          <w:rFonts w:eastAsia="MS Mincho"/>
          <w:sz w:val="26"/>
          <w:rtl/>
        </w:rPr>
        <w:t xml:space="preserve"> אַחֲרֵי בֵית יָרָבְעָם"</w:t>
      </w:r>
      <w:r>
        <w:rPr>
          <w:rFonts w:eastAsia="MS Mincho"/>
          <w:sz w:val="18"/>
          <w:szCs w:val="20"/>
          <w:rtl/>
        </w:rPr>
        <w:t xml:space="preserve">; כא, כא: </w:t>
      </w:r>
      <w:r>
        <w:rPr>
          <w:rFonts w:eastAsia="MS Mincho"/>
          <w:sz w:val="26"/>
          <w:rtl/>
        </w:rPr>
        <w:t>"</w:t>
      </w:r>
      <w:r>
        <w:rPr>
          <w:rFonts w:eastAsia="MS Mincho"/>
          <w:b/>
          <w:bCs/>
          <w:sz w:val="26"/>
          <w:rtl/>
        </w:rPr>
        <w:t>וּבִעַרְתִּי</w:t>
      </w:r>
      <w:r>
        <w:rPr>
          <w:rFonts w:eastAsia="MS Mincho"/>
          <w:sz w:val="26"/>
          <w:rtl/>
        </w:rPr>
        <w:t xml:space="preserve"> אַחֲרֶיךָ" - שניהם בבנין פִעֵל; ופעם בבנין הִפעיל: </w:t>
      </w:r>
      <w:r>
        <w:rPr>
          <w:rFonts w:eastAsia="MS Mincho"/>
          <w:sz w:val="18"/>
          <w:szCs w:val="20"/>
          <w:rtl/>
        </w:rPr>
        <w:t xml:space="preserve">טז, ג: </w:t>
      </w:r>
      <w:r>
        <w:rPr>
          <w:rFonts w:eastAsia="MS Mincho"/>
          <w:sz w:val="26"/>
          <w:rtl/>
        </w:rPr>
        <w:t>"</w:t>
      </w:r>
      <w:r>
        <w:rPr>
          <w:rFonts w:eastAsia="MS Mincho"/>
          <w:b/>
          <w:bCs/>
          <w:sz w:val="26"/>
          <w:rtl/>
        </w:rPr>
        <w:t>מַבְעִיר</w:t>
      </w:r>
      <w:r>
        <w:rPr>
          <w:rFonts w:eastAsia="MS Mincho"/>
          <w:sz w:val="26"/>
          <w:rtl/>
        </w:rPr>
        <w:t xml:space="preserve"> אַחֲרֵי בַעְשָׁא") משמש פֹעַל משורש בע"ר במשמעות קרובה לשורש חפ"ש ולשורש בד"ק. לפי הפירוש המקובל, שורש בע"ר משמש כאן במשמעות דומה לשורש שמ"ד או כל"ה, כפי שמתרגם יונתן בכולם בעזרת שורש פל"י (</w:t>
      </w:r>
      <w:r>
        <w:rPr>
          <w:rFonts w:eastAsia="MS Mincho"/>
          <w:sz w:val="18"/>
          <w:szCs w:val="20"/>
          <w:rtl/>
        </w:rPr>
        <w:t>"ואפלי בתר" וכיו"ב</w:t>
      </w:r>
      <w:r>
        <w:rPr>
          <w:rFonts w:eastAsia="MS Mincho"/>
          <w:sz w:val="26"/>
          <w:rtl/>
        </w:rPr>
        <w:t>) וכן פֵרשו רד"ק (</w:t>
      </w:r>
      <w:r>
        <w:rPr>
          <w:rFonts w:eastAsia="MS Mincho"/>
          <w:sz w:val="18"/>
          <w:szCs w:val="20"/>
          <w:rtl/>
        </w:rPr>
        <w:t>טז, ג: "מַבְעִיר - מן ובערת הרע"</w:t>
      </w:r>
      <w:r>
        <w:rPr>
          <w:rFonts w:eastAsia="MS Mincho"/>
          <w:sz w:val="26"/>
          <w:rtl/>
        </w:rPr>
        <w:t>), מצודת ציון (</w:t>
      </w:r>
      <w:r>
        <w:rPr>
          <w:rFonts w:eastAsia="MS Mincho"/>
          <w:sz w:val="18"/>
          <w:szCs w:val="20"/>
          <w:rtl/>
        </w:rPr>
        <w:t>יד, י: "וּבִעַרְתִּי - ענין הפִנוי מהמקום, כמו: בִערתי הקֹדש"</w:t>
      </w:r>
      <w:r>
        <w:rPr>
          <w:rFonts w:eastAsia="MS Mincho"/>
          <w:sz w:val="26"/>
          <w:rtl/>
        </w:rPr>
        <w:t>) ויהודה קיל בסדרת דעת מקרא. אם זהו הפירוש, מתבקשת מִלת יחס אחרת, כגון "אֶת" (</w:t>
      </w:r>
      <w:r>
        <w:rPr>
          <w:rFonts w:eastAsia="MS Mincho"/>
          <w:sz w:val="18"/>
          <w:szCs w:val="20"/>
          <w:rtl/>
        </w:rPr>
        <w:t>ועיין ביישובו של יהודה קיל: טז, ג</w:t>
      </w:r>
      <w:r>
        <w:rPr>
          <w:rFonts w:eastAsia="MS Mincho"/>
          <w:sz w:val="26"/>
          <w:rtl/>
        </w:rPr>
        <w:t xml:space="preserve">). מִלת היחס "אַחֲר-" </w:t>
      </w:r>
      <w:r>
        <w:rPr>
          <w:rFonts w:eastAsia="MS Mincho" w:hint="cs"/>
          <w:sz w:val="26"/>
          <w:rtl/>
        </w:rPr>
        <w:t xml:space="preserve">אף פעם </w:t>
      </w:r>
      <w:r>
        <w:rPr>
          <w:rFonts w:eastAsia="MS Mincho"/>
          <w:sz w:val="26"/>
          <w:rtl/>
        </w:rPr>
        <w:t>אינה באה אחר פֹעַל משורש שמ"ד או כל"ה. היא באה יחד עם פֹעַל משורש רד"ף בעשרות פסוקים וכן עם פֹעַל משורש דר"ש (</w:t>
      </w:r>
      <w:r>
        <w:rPr>
          <w:rFonts w:eastAsia="MS Mincho"/>
          <w:sz w:val="18"/>
          <w:szCs w:val="20"/>
          <w:rtl/>
        </w:rPr>
        <w:t>איוב לט, ח</w:t>
      </w:r>
      <w:r>
        <w:rPr>
          <w:rFonts w:eastAsia="MS Mincho"/>
          <w:sz w:val="26"/>
          <w:rtl/>
        </w:rPr>
        <w:t>), ומסתבר שבשלושה פסוקים אלו הכוונה היא לחיפוש אחרי מי שמעוניינים להשמידו.</w:t>
      </w:r>
    </w:p>
  </w:footnote>
  <w:footnote w:id="10">
    <w:p w14:paraId="119F2B15" w14:textId="77777777" w:rsidR="00063EA9" w:rsidRDefault="00063EA9">
      <w:pPr>
        <w:pStyle w:val="a7"/>
        <w:rPr>
          <w:rFonts w:hint="cs"/>
          <w:sz w:val="18"/>
          <w:szCs w:val="20"/>
          <w:rtl/>
        </w:rPr>
      </w:pPr>
      <w:r>
        <w:rPr>
          <w:rStyle w:val="a6"/>
          <w:rtl/>
        </w:rPr>
        <w:footnoteRef/>
      </w:r>
      <w:r>
        <w:t xml:space="preserve"> </w:t>
      </w:r>
      <w:r>
        <w:rPr>
          <w:rFonts w:hint="cs"/>
          <w:rtl/>
        </w:rPr>
        <w:t>בשונה מן הפֹעַל הרגיל והמוכר יותר "פֵאֵר"</w:t>
      </w:r>
      <w:r>
        <w:rPr>
          <w:rFonts w:ascii="Ezra SIL SR" w:hAnsi="Ezra SIL SR"/>
          <w:rtl/>
        </w:rPr>
        <w:t>, מלשון פְּאֵר, יופי, כבוד, הדר</w:t>
      </w:r>
      <w:r>
        <w:rPr>
          <w:rFonts w:ascii="Ezra SIL SR" w:hAnsi="Ezra SIL SR" w:hint="cs"/>
          <w:rtl/>
        </w:rPr>
        <w:t>, שבח</w:t>
      </w:r>
      <w:r>
        <w:rPr>
          <w:rFonts w:ascii="Ezra SIL SR" w:hAnsi="Ezra SIL SR"/>
          <w:rtl/>
        </w:rPr>
        <w:t xml:space="preserve"> וחשיבות (כגון "וְלִקְדוֹשׁ יִשְׂרָאֵל כִּי </w:t>
      </w:r>
      <w:r>
        <w:rPr>
          <w:rFonts w:ascii="Ezra SIL SR" w:hAnsi="Ezra SIL SR"/>
          <w:b/>
          <w:bCs/>
          <w:rtl/>
        </w:rPr>
        <w:t>פֵאֲרָךְ</w:t>
      </w:r>
      <w:r>
        <w:rPr>
          <w:rFonts w:ascii="Ezra SIL SR" w:hAnsi="Ezra SIL SR"/>
          <w:rtl/>
        </w:rPr>
        <w:t>"</w:t>
      </w:r>
      <w:r>
        <w:rPr>
          <w:rFonts w:ascii="Ezra SIL SR" w:hAnsi="Ezra SIL SR" w:hint="cs"/>
          <w:rtl/>
        </w:rPr>
        <w:t xml:space="preserve">, </w:t>
      </w:r>
      <w:r>
        <w:rPr>
          <w:rFonts w:ascii="Ezra SIL SR" w:hAnsi="Ezra SIL SR"/>
          <w:sz w:val="18"/>
          <w:szCs w:val="20"/>
          <w:rtl/>
        </w:rPr>
        <w:t>ישעיהו נה, ה</w:t>
      </w:r>
      <w:r>
        <w:rPr>
          <w:rFonts w:ascii="Ezra SIL SR" w:hAnsi="Ezra SIL SR" w:hint="cs"/>
          <w:sz w:val="18"/>
          <w:szCs w:val="20"/>
          <w:rtl/>
        </w:rPr>
        <w:t xml:space="preserve">, </w:t>
      </w:r>
      <w:r>
        <w:rPr>
          <w:rFonts w:ascii="Ezra SIL SR" w:hAnsi="Ezra SIL SR" w:hint="cs"/>
          <w:rtl/>
        </w:rPr>
        <w:t>ובפסוקי דזמרה</w:t>
      </w:r>
      <w:r>
        <w:rPr>
          <w:rFonts w:ascii="Ezra SIL SR" w:hAnsi="Ezra SIL SR"/>
          <w:rtl/>
        </w:rPr>
        <w:t>: "</w:t>
      </w:r>
      <w:r>
        <w:rPr>
          <w:rFonts w:ascii="Ezra SIL SR" w:hAnsi="Ezra SIL SR"/>
          <w:b/>
          <w:bCs/>
          <w:rtl/>
        </w:rPr>
        <w:t>יְפָאֵר</w:t>
      </w:r>
      <w:r>
        <w:rPr>
          <w:rFonts w:ascii="Ezra SIL SR" w:hAnsi="Ezra SIL SR"/>
          <w:rtl/>
        </w:rPr>
        <w:t xml:space="preserve"> עֲנָוִים בִּישׁוּעָה</w:t>
      </w:r>
      <w:r>
        <w:rPr>
          <w:rFonts w:ascii="Ezra SIL SR" w:hAnsi="Ezra SIL SR" w:hint="cs"/>
          <w:rtl/>
        </w:rPr>
        <w:t xml:space="preserve">", </w:t>
      </w:r>
      <w:r>
        <w:rPr>
          <w:rFonts w:ascii="Ezra SIL SR" w:hAnsi="Ezra SIL SR"/>
          <w:sz w:val="18"/>
          <w:szCs w:val="20"/>
          <w:rtl/>
        </w:rPr>
        <w:t>תהילים קמט</w:t>
      </w:r>
      <w:r>
        <w:rPr>
          <w:rFonts w:ascii="Ezra SIL SR" w:hAnsi="Ezra SIL SR" w:hint="cs"/>
          <w:sz w:val="18"/>
          <w:szCs w:val="20"/>
          <w:rtl/>
        </w:rPr>
        <w:t>,</w:t>
      </w:r>
      <w:r>
        <w:rPr>
          <w:rFonts w:ascii="Ezra SIL SR" w:hAnsi="Ezra SIL SR"/>
          <w:sz w:val="18"/>
          <w:szCs w:val="20"/>
          <w:rtl/>
        </w:rPr>
        <w:t xml:space="preserve"> ד</w:t>
      </w:r>
      <w:r>
        <w:rPr>
          <w:rFonts w:ascii="Ezra SIL SR" w:hAnsi="Ezra SIL SR"/>
          <w:rtl/>
        </w:rPr>
        <w:t>), שבו</w:t>
      </w:r>
      <w:r>
        <w:rPr>
          <w:rFonts w:ascii="Ezra SIL SR" w:hAnsi="Ezra SIL SR" w:hint="cs"/>
          <w:rtl/>
        </w:rPr>
        <w:t xml:space="preserve"> יש "תשלום דגש" (כלומר, בבנין פִעֵל תנוקד האות הראשונה של השורש בתנועה גדולה - קמץ או צירי - "במקום" הדגש החזק שמופיע בד"כ בבנין זה באות השורש האמצעית), כאן אין דגש וגם אין שינוי בניקוד </w:t>
      </w:r>
      <w:r>
        <w:rPr>
          <w:rFonts w:hint="cs"/>
          <w:rtl/>
        </w:rPr>
        <w:t xml:space="preserve">(ע"פ </w:t>
      </w:r>
      <w:r>
        <w:rPr>
          <w:rFonts w:ascii="Ezra SIL SR" w:hAnsi="Ezra SIL SR"/>
          <w:rtl/>
        </w:rPr>
        <w:t>רד"ק</w:t>
      </w:r>
      <w:r>
        <w:rPr>
          <w:rFonts w:ascii="Ezra SIL SR" w:hAnsi="Ezra SIL SR" w:hint="cs"/>
          <w:rtl/>
        </w:rPr>
        <w:t>,</w:t>
      </w:r>
      <w:r>
        <w:rPr>
          <w:rFonts w:ascii="Ezra SIL SR" w:hAnsi="Ezra SIL SR"/>
          <w:rtl/>
        </w:rPr>
        <w:t xml:space="preserve"> </w:t>
      </w:r>
      <w:r>
        <w:rPr>
          <w:rFonts w:ascii="Ezra SIL SR" w:hAnsi="Ezra SIL SR"/>
          <w:sz w:val="18"/>
          <w:szCs w:val="20"/>
          <w:rtl/>
        </w:rPr>
        <w:t>ספר השרשים</w:t>
      </w:r>
      <w:r>
        <w:rPr>
          <w:rFonts w:ascii="Ezra SIL SR" w:hAnsi="Ezra SIL SR"/>
          <w:rtl/>
        </w:rPr>
        <w:t>)</w:t>
      </w:r>
      <w:r>
        <w:rPr>
          <w:rFonts w:ascii="Ezra SIL SR" w:hAnsi="Ezra SIL SR" w:hint="cs"/>
          <w:rtl/>
        </w:rPr>
        <w:t xml:space="preserve">. גם בכך דומה </w:t>
      </w:r>
      <w:r>
        <w:rPr>
          <w:rFonts w:hint="cs"/>
          <w:rtl/>
        </w:rPr>
        <w:t xml:space="preserve">"פִּאֵר" </w:t>
      </w:r>
      <w:r>
        <w:rPr>
          <w:rFonts w:ascii="Ezra SIL SR" w:hAnsi="Ezra SIL SR" w:hint="cs"/>
          <w:rtl/>
        </w:rPr>
        <w:t>ל"</w:t>
      </w:r>
      <w:r>
        <w:rPr>
          <w:rFonts w:hint="cs"/>
          <w:rtl/>
        </w:rPr>
        <w:t>בִע</w:t>
      </w:r>
      <w:r>
        <w:rPr>
          <w:rtl/>
        </w:rPr>
        <w:t>ֵר</w:t>
      </w:r>
      <w:r>
        <w:rPr>
          <w:rFonts w:hint="cs"/>
          <w:rtl/>
        </w:rPr>
        <w:t>".</w:t>
      </w:r>
    </w:p>
  </w:footnote>
  <w:footnote w:id="11">
    <w:p w14:paraId="22448DFC" w14:textId="77777777" w:rsidR="00063EA9" w:rsidRDefault="00063EA9">
      <w:pPr>
        <w:pStyle w:val="a7"/>
        <w:rPr>
          <w:rFonts w:hint="cs"/>
          <w:rtl/>
        </w:rPr>
      </w:pPr>
      <w:r>
        <w:rPr>
          <w:rStyle w:val="a6"/>
          <w:rtl/>
        </w:rPr>
        <w:footnoteRef/>
      </w:r>
      <w:r>
        <w:t xml:space="preserve"> </w:t>
      </w:r>
      <w:r>
        <w:rPr>
          <w:rFonts w:hint="cs"/>
          <w:rtl/>
        </w:rPr>
        <w:t xml:space="preserve">וגם דומה לו מבחינה פונֶטית: לשני העיצורים הראשונים בשורשים פא"ר / בע"ר מוצא משותף (פ/ב - עיצורים שפתיים; א/ע - גרוניים), וידועים דברי </w:t>
      </w:r>
      <w:r>
        <w:rPr>
          <w:rtl/>
        </w:rPr>
        <w:t>רש"י: "שכל האותיות שמוצאיהם ממקום אחד מתחלפות זו בזו</w:t>
      </w:r>
      <w:r>
        <w:rPr>
          <w:rFonts w:hint="cs"/>
          <w:rtl/>
        </w:rPr>
        <w:t>:</w:t>
      </w:r>
      <w:r>
        <w:rPr>
          <w:rtl/>
        </w:rPr>
        <w:t xml:space="preserve"> בי"ת בפ"א..."</w:t>
      </w:r>
      <w:r>
        <w:rPr>
          <w:rFonts w:hint="cs"/>
          <w:rtl/>
        </w:rPr>
        <w:t xml:space="preserve"> (</w:t>
      </w:r>
      <w:r>
        <w:rPr>
          <w:rFonts w:hint="cs"/>
          <w:sz w:val="18"/>
          <w:szCs w:val="20"/>
          <w:rtl/>
        </w:rPr>
        <w:t xml:space="preserve">פירושו </w:t>
      </w:r>
      <w:r>
        <w:rPr>
          <w:sz w:val="18"/>
          <w:szCs w:val="20"/>
          <w:rtl/>
        </w:rPr>
        <w:t>לויקרא יט, טז</w:t>
      </w:r>
      <w:r>
        <w:rPr>
          <w:rFonts w:hint="cs"/>
          <w:sz w:val="26"/>
          <w:rtl/>
        </w:rPr>
        <w:t>)</w:t>
      </w:r>
      <w:r>
        <w:rPr>
          <w:rFonts w:hint="cs"/>
          <w:rtl/>
        </w:rPr>
        <w:t>.</w:t>
      </w:r>
    </w:p>
  </w:footnote>
  <w:footnote w:id="12">
    <w:p w14:paraId="3B07CFB8" w14:textId="77777777" w:rsidR="00063EA9" w:rsidRDefault="00063EA9">
      <w:pPr>
        <w:pStyle w:val="a7"/>
        <w:rPr>
          <w:rFonts w:hint="cs"/>
          <w:rtl/>
        </w:rPr>
      </w:pPr>
      <w:r>
        <w:rPr>
          <w:rStyle w:val="a6"/>
          <w:rtl/>
        </w:rPr>
        <w:footnoteRef/>
      </w:r>
      <w:r>
        <w:t xml:space="preserve"> </w:t>
      </w:r>
      <w:r>
        <w:rPr>
          <w:rtl/>
        </w:rPr>
        <w:t xml:space="preserve">רש"י על אתר: "לא תפאר - לא תִטול תפארתו ממנו. מכאן שמניחין פאה לאילן". ובפירושו לחולין </w:t>
      </w:r>
      <w:r>
        <w:rPr>
          <w:sz w:val="18"/>
          <w:szCs w:val="20"/>
          <w:rtl/>
        </w:rPr>
        <w:t>קלא, ב ד"ה אחריך</w:t>
      </w:r>
      <w:r>
        <w:rPr>
          <w:rtl/>
        </w:rPr>
        <w:t>: "שלא תטול תפארתו הימנו, כלומר לא תטול כל פארו לשון (</w:t>
      </w:r>
      <w:r>
        <w:rPr>
          <w:sz w:val="18"/>
          <w:szCs w:val="20"/>
          <w:rtl/>
        </w:rPr>
        <w:t>איוב לא, יב</w:t>
      </w:r>
      <w:r>
        <w:rPr>
          <w:rtl/>
        </w:rPr>
        <w:t>) וּבְכָל תְּבוּאָתִי תְשָׁרֵשׁ דמשמע עקירה ולשון (</w:t>
      </w:r>
      <w:r>
        <w:rPr>
          <w:sz w:val="18"/>
          <w:szCs w:val="20"/>
          <w:rtl/>
        </w:rPr>
        <w:t>דברים כה, יח</w:t>
      </w:r>
      <w:r>
        <w:rPr>
          <w:rtl/>
        </w:rPr>
        <w:t>) וַיְזַנֵּב בְּךָ נטל את זנבך</w:t>
      </w:r>
      <w:r>
        <w:rPr>
          <w:rFonts w:hint="cs"/>
          <w:rtl/>
        </w:rPr>
        <w:t>,</w:t>
      </w:r>
      <w:r>
        <w:rPr>
          <w:rtl/>
        </w:rPr>
        <w:t xml:space="preserve"> אשפי"ר בלע"ז</w:t>
      </w:r>
      <w:r>
        <w:rPr>
          <w:rFonts w:hint="cs"/>
          <w:rtl/>
        </w:rPr>
        <w:t>,</w:t>
      </w:r>
      <w:r>
        <w:rPr>
          <w:rtl/>
        </w:rPr>
        <w:t xml:space="preserve"> והיינו שלא תטול פאה".</w:t>
      </w:r>
      <w:r>
        <w:rPr>
          <w:rFonts w:hint="cs"/>
          <w:rtl/>
        </w:rPr>
        <w:t xml:space="preserve"> </w:t>
      </w:r>
      <w:r>
        <w:rPr>
          <w:rtl/>
        </w:rPr>
        <w:t>ע"ע</w:t>
      </w:r>
      <w:r>
        <w:rPr>
          <w:rFonts w:hint="cs"/>
          <w:rtl/>
        </w:rPr>
        <w:t>:</w:t>
      </w:r>
      <w:r>
        <w:rPr>
          <w:rtl/>
        </w:rPr>
        <w:t xml:space="preserve"> השגות הרמב"ן לספר המצוות, הקדמה לפרטי המצוות, וספר החינוך מצוה רכ"א.</w:t>
      </w:r>
    </w:p>
  </w:footnote>
  <w:footnote w:id="13">
    <w:p w14:paraId="35B89126" w14:textId="77777777" w:rsidR="00063EA9" w:rsidRDefault="00063EA9">
      <w:pPr>
        <w:pStyle w:val="a7"/>
        <w:rPr>
          <w:rFonts w:hint="cs"/>
          <w:rtl/>
        </w:rPr>
      </w:pPr>
      <w:r>
        <w:rPr>
          <w:rStyle w:val="a6"/>
          <w:rtl/>
        </w:rPr>
        <w:footnoteRef/>
      </w:r>
      <w:r>
        <w:t xml:space="preserve"> </w:t>
      </w:r>
      <w:r>
        <w:rPr>
          <w:rFonts w:hint="cs"/>
          <w:rtl/>
        </w:rPr>
        <w:t xml:space="preserve">רס"ג: "לא </w:t>
      </w:r>
      <w:r>
        <w:rPr>
          <w:rFonts w:hint="cs"/>
          <w:b/>
          <w:bCs/>
          <w:rtl/>
        </w:rPr>
        <w:t>תבדוק</w:t>
      </w:r>
      <w:r>
        <w:rPr>
          <w:rFonts w:hint="cs"/>
          <w:rtl/>
        </w:rPr>
        <w:t xml:space="preserve"> אחר כך ו</w:t>
      </w:r>
      <w:r>
        <w:rPr>
          <w:rFonts w:hint="cs"/>
          <w:b/>
          <w:bCs/>
          <w:rtl/>
        </w:rPr>
        <w:t xml:space="preserve">תחטט </w:t>
      </w:r>
      <w:r>
        <w:rPr>
          <w:rFonts w:hint="cs"/>
          <w:rtl/>
        </w:rPr>
        <w:t xml:space="preserve">אחר הנשארים בפארות". ר"א </w:t>
      </w:r>
      <w:r>
        <w:rPr>
          <w:rtl/>
        </w:rPr>
        <w:t>אבן עזרא</w:t>
      </w:r>
      <w:r>
        <w:rPr>
          <w:rFonts w:hint="cs"/>
          <w:rtl/>
        </w:rPr>
        <w:t>: "</w:t>
      </w:r>
      <w:r>
        <w:rPr>
          <w:rtl/>
        </w:rPr>
        <w:t xml:space="preserve">לא תפאר - לא </w:t>
      </w:r>
      <w:r>
        <w:rPr>
          <w:b/>
          <w:bCs/>
          <w:rtl/>
        </w:rPr>
        <w:t>תחפש</w:t>
      </w:r>
      <w:r>
        <w:rPr>
          <w:rtl/>
        </w:rPr>
        <w:t xml:space="preserve"> הפארות והם הסעיפים, וכן:</w:t>
      </w:r>
      <w:r>
        <w:rPr>
          <w:rFonts w:hint="cs"/>
          <w:rtl/>
        </w:rPr>
        <w:t xml:space="preserve"> '</w:t>
      </w:r>
      <w:r>
        <w:rPr>
          <w:rtl/>
        </w:rPr>
        <w:t>וַתַּעַשׂ בַּדִּים וַתְּשַׁלַּח פֹּארוֹת</w:t>
      </w:r>
      <w:r>
        <w:rPr>
          <w:rFonts w:hint="cs"/>
          <w:rtl/>
        </w:rPr>
        <w:t>'</w:t>
      </w:r>
      <w:r>
        <w:rPr>
          <w:rtl/>
        </w:rPr>
        <w:t xml:space="preserve"> (</w:t>
      </w:r>
      <w:r>
        <w:rPr>
          <w:sz w:val="18"/>
          <w:szCs w:val="20"/>
          <w:rtl/>
        </w:rPr>
        <w:t>יחז</w:t>
      </w:r>
      <w:r>
        <w:rPr>
          <w:rFonts w:hint="cs"/>
          <w:sz w:val="18"/>
          <w:szCs w:val="20"/>
          <w:rtl/>
        </w:rPr>
        <w:t>קאל</w:t>
      </w:r>
      <w:r>
        <w:rPr>
          <w:sz w:val="18"/>
          <w:szCs w:val="20"/>
          <w:rtl/>
        </w:rPr>
        <w:t xml:space="preserve"> יז, ו</w:t>
      </w:r>
      <w:r>
        <w:rPr>
          <w:rFonts w:hint="cs"/>
          <w:rtl/>
        </w:rPr>
        <w:t>)".</w:t>
      </w:r>
    </w:p>
  </w:footnote>
  <w:footnote w:id="14">
    <w:p w14:paraId="04A52757" w14:textId="77777777" w:rsidR="00063EA9" w:rsidRDefault="00063EA9">
      <w:pPr>
        <w:pStyle w:val="a7"/>
        <w:rPr>
          <w:rFonts w:eastAsia="MS Mincho" w:hint="cs"/>
          <w:sz w:val="26"/>
          <w:rtl/>
        </w:rPr>
      </w:pPr>
      <w:r>
        <w:rPr>
          <w:rStyle w:val="a6"/>
        </w:rPr>
        <w:footnoteRef/>
      </w:r>
      <w:r>
        <w:rPr>
          <w:rFonts w:hint="cs"/>
          <w:rtl/>
        </w:rPr>
        <w:t xml:space="preserve"> </w:t>
      </w:r>
      <w:r>
        <w:rPr>
          <w:rFonts w:eastAsia="MS Mincho"/>
          <w:sz w:val="26"/>
          <w:rtl/>
        </w:rPr>
        <w:t>כפי שהוער במדור "שינויי נוסחאות" (</w:t>
      </w:r>
      <w:r>
        <w:rPr>
          <w:rFonts w:eastAsia="MS Mincho"/>
          <w:sz w:val="18"/>
          <w:rtl/>
        </w:rPr>
        <w:t>במשניות ע"א פירושים</w:t>
      </w:r>
      <w:r>
        <w:rPr>
          <w:rFonts w:eastAsia="MS Mincho"/>
          <w:sz w:val="26"/>
          <w:rtl/>
        </w:rPr>
        <w:t>) ביחס לנוסח "יפל</w:t>
      </w:r>
      <w:r>
        <w:rPr>
          <w:rFonts w:eastAsia="MS Mincho"/>
          <w:b/>
          <w:bCs/>
          <w:sz w:val="26"/>
          <w:rtl/>
        </w:rPr>
        <w:t>א</w:t>
      </w:r>
      <w:r>
        <w:rPr>
          <w:rFonts w:eastAsia="MS Mincho"/>
          <w:sz w:val="26"/>
          <w:rtl/>
        </w:rPr>
        <w:t>" (</w:t>
      </w:r>
      <w:r>
        <w:rPr>
          <w:rFonts w:eastAsia="MS Mincho"/>
          <w:sz w:val="18"/>
          <w:rtl/>
        </w:rPr>
        <w:t>המופיע במשנה שבירושלמי ובדפוס פראג</w:t>
      </w:r>
      <w:r>
        <w:rPr>
          <w:rFonts w:eastAsia="MS Mincho"/>
          <w:sz w:val="26"/>
          <w:rtl/>
        </w:rPr>
        <w:t xml:space="preserve">): "גם בלשון הקדש (=בעברית המקראית) באים השרשים פל"א, פל"ה להורות על ברור והבדל דבר מִדָּבָר, בדִבור או במעשה" (ובאופן כללי קיים קשר הדוק בין גזרת ל"א לגזרת ל"ה), ואכמ"ל. </w:t>
      </w:r>
    </w:p>
    <w:p w14:paraId="4EE2E17D" w14:textId="77777777" w:rsidR="00063EA9" w:rsidRDefault="00063EA9">
      <w:pPr>
        <w:pStyle w:val="a7"/>
        <w:rPr>
          <w:rFonts w:hint="cs"/>
          <w:rtl/>
        </w:rPr>
      </w:pPr>
      <w:r>
        <w:rPr>
          <w:rFonts w:eastAsia="MS Mincho"/>
          <w:sz w:val="26"/>
          <w:rtl/>
        </w:rPr>
        <w:t>במהדורת הר"י קאפח של פיהמ"ש לרמב"ם נכתב בנוסח המשנה "יפל</w:t>
      </w:r>
      <w:r>
        <w:rPr>
          <w:rFonts w:eastAsia="MS Mincho"/>
          <w:b/>
          <w:bCs/>
          <w:sz w:val="26"/>
          <w:rtl/>
        </w:rPr>
        <w:t>א</w:t>
      </w:r>
      <w:r>
        <w:rPr>
          <w:rFonts w:eastAsia="MS Mincho"/>
          <w:sz w:val="26"/>
          <w:rtl/>
        </w:rPr>
        <w:t>" ובפירוש "יפל</w:t>
      </w:r>
      <w:r>
        <w:rPr>
          <w:rFonts w:eastAsia="MS Mincho"/>
          <w:b/>
          <w:bCs/>
          <w:sz w:val="26"/>
          <w:rtl/>
        </w:rPr>
        <w:t>ה</w:t>
      </w:r>
      <w:r>
        <w:rPr>
          <w:rFonts w:eastAsia="MS Mincho"/>
          <w:sz w:val="26"/>
          <w:rtl/>
        </w:rPr>
        <w:t>". יצויין שבמסכת שבת אין בידינו כתב ידו (אוטוגרף בלעז) של הרמב"ם, כמבואר שם במבוא.</w:t>
      </w:r>
    </w:p>
  </w:footnote>
  <w:footnote w:id="15">
    <w:p w14:paraId="70F14AAE" w14:textId="77777777" w:rsidR="00063EA9" w:rsidRDefault="00063EA9">
      <w:pPr>
        <w:pStyle w:val="a7"/>
        <w:rPr>
          <w:rFonts w:hint="cs"/>
          <w:rtl/>
        </w:rPr>
      </w:pPr>
      <w:r>
        <w:rPr>
          <w:rStyle w:val="a6"/>
        </w:rPr>
        <w:footnoteRef/>
      </w:r>
      <w:r>
        <w:rPr>
          <w:rFonts w:hint="cs"/>
          <w:rtl/>
        </w:rPr>
        <w:t xml:space="preserve"> </w:t>
      </w:r>
      <w:r>
        <w:rPr>
          <w:rFonts w:eastAsia="MS Mincho"/>
          <w:sz w:val="26"/>
          <w:rtl/>
        </w:rPr>
        <w:t>פירוש היעב"ץ למשנה, משנה לחם, ירושלים תשל"ה, עמ' סד"ר.</w:t>
      </w:r>
    </w:p>
  </w:footnote>
  <w:footnote w:id="16">
    <w:p w14:paraId="73CADFFB" w14:textId="77777777" w:rsidR="00063EA9" w:rsidRDefault="00063EA9">
      <w:pPr>
        <w:pStyle w:val="a7"/>
        <w:rPr>
          <w:rFonts w:hint="cs"/>
          <w:rtl/>
        </w:rPr>
      </w:pPr>
      <w:r>
        <w:rPr>
          <w:rStyle w:val="a6"/>
        </w:rPr>
        <w:footnoteRef/>
      </w:r>
      <w:r>
        <w:rPr>
          <w:rFonts w:hint="cs"/>
          <w:rtl/>
        </w:rPr>
        <w:t xml:space="preserve"> </w:t>
      </w:r>
      <w:r>
        <w:rPr>
          <w:rFonts w:eastAsia="MS Mincho"/>
          <w:sz w:val="26"/>
          <w:rtl/>
        </w:rPr>
        <w:t>ראה: ר' חנוך ילון, מבוא לניקוד המשנה, עמ' 48.</w:t>
      </w:r>
    </w:p>
  </w:footnote>
  <w:footnote w:id="17">
    <w:p w14:paraId="48FF9A3E" w14:textId="77777777" w:rsidR="00063EA9" w:rsidRDefault="00063EA9">
      <w:pPr>
        <w:pStyle w:val="a7"/>
        <w:rPr>
          <w:rFonts w:hint="cs"/>
          <w:rtl/>
        </w:rPr>
      </w:pPr>
      <w:r>
        <w:rPr>
          <w:rStyle w:val="a6"/>
        </w:rPr>
        <w:footnoteRef/>
      </w:r>
      <w:r>
        <w:rPr>
          <w:rFonts w:hint="cs"/>
          <w:rtl/>
        </w:rPr>
        <w:t xml:space="preserve"> </w:t>
      </w:r>
      <w:r>
        <w:rPr>
          <w:rFonts w:eastAsia="MS Mincho"/>
          <w:sz w:val="26"/>
          <w:rtl/>
        </w:rPr>
        <w:t>צ"ע שמא ישנו קשר בין שתי קריאות אלה לאופנים השונים של הקריאה או הכתיבה שלעיל.</w:t>
      </w:r>
    </w:p>
  </w:footnote>
  <w:footnote w:id="18">
    <w:p w14:paraId="10CD1252" w14:textId="77777777" w:rsidR="00063EA9" w:rsidRDefault="00063EA9">
      <w:pPr>
        <w:pStyle w:val="a7"/>
        <w:rPr>
          <w:rFonts w:hint="cs"/>
          <w:rtl/>
        </w:rPr>
      </w:pPr>
      <w:r>
        <w:rPr>
          <w:rStyle w:val="a6"/>
        </w:rPr>
        <w:footnoteRef/>
      </w:r>
      <w:r>
        <w:rPr>
          <w:rFonts w:hint="cs"/>
          <w:rtl/>
        </w:rPr>
        <w:t xml:space="preserve"> </w:t>
      </w:r>
      <w:r>
        <w:rPr>
          <w:rFonts w:eastAsia="MS Mincho"/>
          <w:sz w:val="26"/>
          <w:rtl/>
        </w:rPr>
        <w:t xml:space="preserve">וכך הודפס אל נכון במהדורת משנה סדורה של מו"ר הרב אליהו דורדק. אמנם, בכמה מהדורות של המשנה פִסקו כאופן השני, אליבא דרבי אליעזר, וצ"ע (ראה מהדורת הר"י קאפח של פיהמ"ש לרמב"ם ומשניות מבוארות בידי </w:t>
      </w:r>
      <w:r>
        <w:rPr>
          <w:rFonts w:ascii="Arial" w:hAnsi="Arial" w:hint="cs"/>
          <w:rtl/>
        </w:rPr>
        <w:t>הרב קהתי).</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12F49"/>
    <w:multiLevelType w:val="hybridMultilevel"/>
    <w:tmpl w:val="907EA2E8"/>
    <w:lvl w:ilvl="0" w:tplc="8146ED2C">
      <w:start w:val="1"/>
      <w:numFmt w:val="decimal"/>
      <w:pStyle w:val="5"/>
      <w:lvlText w:val="%1."/>
      <w:lvlJc w:val="left"/>
      <w:pPr>
        <w:tabs>
          <w:tab w:val="num" w:pos="720"/>
        </w:tabs>
        <w:ind w:left="720" w:right="720" w:hanging="360"/>
      </w:pPr>
      <w:rPr>
        <w:rFonts w:hint="default"/>
        <w:color w:val="0000FF"/>
        <w:sz w:val="16"/>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4ADC"/>
    <w:rsid w:val="00063EA9"/>
    <w:rsid w:val="00DE4ADC"/>
    <w:rsid w:val="00F60D8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C356877"/>
  <w15:chartTrackingRefBased/>
  <w15:docId w15:val="{34B6D138-9669-4BBC-A049-066AB2A4B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spacing w:line="360" w:lineRule="auto"/>
      <w:jc w:val="both"/>
    </w:pPr>
    <w:rPr>
      <w:rFonts w:cs="Guttman Drogolin"/>
      <w:sz w:val="22"/>
      <w:szCs w:val="24"/>
    </w:rPr>
  </w:style>
  <w:style w:type="paragraph" w:styleId="1">
    <w:name w:val="heading 1"/>
    <w:basedOn w:val="a"/>
    <w:next w:val="a"/>
    <w:qFormat/>
    <w:pPr>
      <w:keepNext/>
      <w:spacing w:before="240" w:after="60"/>
      <w:jc w:val="center"/>
      <w:outlineLvl w:val="0"/>
    </w:pPr>
    <w:rPr>
      <w:b/>
      <w:bCs/>
      <w:kern w:val="32"/>
      <w:sz w:val="40"/>
      <w:szCs w:val="40"/>
    </w:rPr>
  </w:style>
  <w:style w:type="paragraph" w:styleId="2">
    <w:name w:val="heading 2"/>
    <w:basedOn w:val="a"/>
    <w:next w:val="a"/>
    <w:qFormat/>
    <w:pPr>
      <w:keepNext/>
      <w:spacing w:before="480" w:after="60"/>
      <w:outlineLvl w:val="1"/>
    </w:pPr>
    <w:rPr>
      <w:rFonts w:ascii="Arial" w:hAnsi="Arial" w:cs="Miriam Transparent"/>
      <w:sz w:val="28"/>
      <w:szCs w:val="28"/>
    </w:rPr>
  </w:style>
  <w:style w:type="paragraph" w:styleId="3">
    <w:name w:val="heading 3"/>
    <w:basedOn w:val="a"/>
    <w:next w:val="a"/>
    <w:qFormat/>
    <w:pPr>
      <w:keepNext/>
      <w:tabs>
        <w:tab w:val="left" w:pos="4109"/>
        <w:tab w:val="left" w:pos="6072"/>
      </w:tabs>
      <w:autoSpaceDE w:val="0"/>
      <w:autoSpaceDN w:val="0"/>
      <w:spacing w:before="120"/>
      <w:outlineLvl w:val="2"/>
    </w:pPr>
    <w:rPr>
      <w:bCs/>
      <w:sz w:val="32"/>
      <w:szCs w:val="30"/>
    </w:rPr>
  </w:style>
  <w:style w:type="paragraph" w:styleId="4">
    <w:name w:val="heading 4"/>
    <w:aliases w:val="ערך"/>
    <w:basedOn w:val="a"/>
    <w:next w:val="a"/>
    <w:qFormat/>
    <w:pPr>
      <w:keepNext/>
      <w:autoSpaceDE w:val="0"/>
      <w:autoSpaceDN w:val="0"/>
      <w:adjustRightInd w:val="0"/>
      <w:spacing w:before="120"/>
      <w:outlineLvl w:val="3"/>
    </w:pPr>
    <w:rPr>
      <w:color w:val="000000"/>
      <w:szCs w:val="26"/>
      <w:u w:val="single"/>
    </w:rPr>
  </w:style>
  <w:style w:type="paragraph" w:styleId="5">
    <w:name w:val="heading 5"/>
    <w:basedOn w:val="a"/>
    <w:next w:val="a"/>
    <w:qFormat/>
    <w:pPr>
      <w:keepNext/>
      <w:numPr>
        <w:numId w:val="1"/>
      </w:numPr>
      <w:autoSpaceDE w:val="0"/>
      <w:autoSpaceDN w:val="0"/>
      <w:adjustRightInd w:val="0"/>
      <w:ind w:right="0"/>
      <w:jc w:val="left"/>
      <w:outlineLvl w:val="4"/>
    </w:pPr>
    <w:rPr>
      <w:b/>
      <w:bCs/>
      <w:color w:val="000000"/>
      <w:sz w:val="18"/>
      <w:szCs w:val="20"/>
    </w:rPr>
  </w:style>
  <w:style w:type="paragraph" w:styleId="6">
    <w:name w:val="heading 6"/>
    <w:basedOn w:val="a"/>
    <w:next w:val="a"/>
    <w:qFormat/>
    <w:pPr>
      <w:keepNext/>
      <w:tabs>
        <w:tab w:val="left" w:pos="4109"/>
        <w:tab w:val="left" w:pos="6072"/>
      </w:tabs>
      <w:autoSpaceDE w:val="0"/>
      <w:autoSpaceDN w:val="0"/>
      <w:spacing w:after="240"/>
      <w:outlineLvl w:val="5"/>
    </w:pPr>
    <w:rPr>
      <w:rFonts w:cs="David"/>
      <w:sz w:val="30"/>
      <w:szCs w:val="28"/>
    </w:rPr>
  </w:style>
  <w:style w:type="paragraph" w:styleId="7">
    <w:name w:val="heading 7"/>
    <w:basedOn w:val="a"/>
    <w:next w:val="a"/>
    <w:qFormat/>
    <w:pPr>
      <w:keepNext/>
      <w:autoSpaceDE w:val="0"/>
      <w:autoSpaceDN w:val="0"/>
      <w:adjustRightInd w:val="0"/>
      <w:jc w:val="left"/>
      <w:outlineLvl w:val="6"/>
    </w:pPr>
    <w:rPr>
      <w:b/>
      <w:bCs/>
      <w:sz w:val="12"/>
      <w:szCs w:val="14"/>
      <w:u w:val="single"/>
    </w:rPr>
  </w:style>
  <w:style w:type="paragraph" w:styleId="8">
    <w:name w:val="heading 8"/>
    <w:basedOn w:val="a"/>
    <w:qFormat/>
    <w:pPr>
      <w:bidi w:val="0"/>
      <w:spacing w:before="100" w:beforeAutospacing="1" w:after="100" w:afterAutospacing="1"/>
      <w:jc w:val="left"/>
      <w:outlineLvl w:val="7"/>
    </w:pPr>
    <w:rPr>
      <w:rFonts w:ascii="Arial Unicode MS" w:hAnsi="Arial Unicode MS"/>
    </w:rPr>
  </w:style>
  <w:style w:type="paragraph" w:styleId="9">
    <w:name w:val="heading 9"/>
    <w:basedOn w:val="a"/>
    <w:next w:val="a"/>
    <w:qFormat/>
    <w:pPr>
      <w:keepNext/>
      <w:autoSpaceDE w:val="0"/>
      <w:autoSpaceDN w:val="0"/>
      <w:adjustRightInd w:val="0"/>
      <w:ind w:left="720"/>
      <w:jc w:val="left"/>
      <w:outlineLvl w:val="8"/>
    </w:pPr>
    <w:rPr>
      <w:b/>
      <w:bCs/>
      <w:color w:val="000000"/>
      <w:sz w:val="16"/>
      <w:szCs w:val="18"/>
      <w:u w:val="single"/>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ndnote reference"/>
    <w:basedOn w:val="a0"/>
    <w:semiHidden/>
    <w:rPr>
      <w:rFonts w:ascii="Times New Roman" w:hAnsi="Times New Roman" w:cs="Times New Roman"/>
      <w:vertAlign w:val="superscript"/>
      <w:lang w:bidi="he-IL"/>
    </w:rPr>
  </w:style>
  <w:style w:type="paragraph" w:styleId="a4">
    <w:name w:val="endnote text"/>
    <w:basedOn w:val="a"/>
    <w:semiHidden/>
    <w:rPr>
      <w:rFonts w:cs="Levenim MT"/>
      <w:szCs w:val="22"/>
    </w:rPr>
  </w:style>
  <w:style w:type="paragraph" w:styleId="a5">
    <w:name w:val="footer"/>
    <w:basedOn w:val="a"/>
    <w:semiHidden/>
    <w:pPr>
      <w:tabs>
        <w:tab w:val="center" w:pos="4153"/>
        <w:tab w:val="right" w:pos="8306"/>
      </w:tabs>
    </w:pPr>
  </w:style>
  <w:style w:type="character" w:styleId="a6">
    <w:name w:val="footnote reference"/>
    <w:basedOn w:val="a0"/>
    <w:semiHidden/>
    <w:rPr>
      <w:rFonts w:ascii="Arial" w:hAnsi="Arial" w:cs="Arial"/>
      <w:sz w:val="26"/>
      <w:vertAlign w:val="superscript"/>
      <w:lang w:eastAsia="he-IL"/>
    </w:rPr>
  </w:style>
  <w:style w:type="paragraph" w:styleId="a7">
    <w:name w:val="footnote text"/>
    <w:basedOn w:val="a"/>
    <w:semiHidden/>
    <w:pPr>
      <w:tabs>
        <w:tab w:val="left" w:pos="4109"/>
        <w:tab w:val="left" w:pos="6072"/>
      </w:tabs>
      <w:autoSpaceDE w:val="0"/>
      <w:autoSpaceDN w:val="0"/>
    </w:pPr>
    <w:rPr>
      <w:rFonts w:ascii="Ezra SIL" w:hAnsi="Ezra SIL" w:cs="Arial"/>
    </w:rPr>
  </w:style>
  <w:style w:type="character" w:styleId="Hyperlink">
    <w:name w:val="Hyperlink"/>
    <w:basedOn w:val="a0"/>
    <w:semiHidden/>
    <w:rPr>
      <w:rFonts w:ascii="Times New Roman" w:hAnsi="Times New Roman" w:cs="Times New Roman"/>
      <w:color w:val="0000FF"/>
      <w:u w:val="single"/>
      <w:lang w:bidi="he-IL"/>
    </w:rPr>
  </w:style>
  <w:style w:type="paragraph" w:styleId="NormalWeb">
    <w:name w:val="Normal (Web)‎"/>
    <w:basedOn w:val="a"/>
    <w:semiHidden/>
    <w:pPr>
      <w:bidi w:val="0"/>
      <w:spacing w:before="100" w:beforeAutospacing="1" w:after="100" w:afterAutospacing="1"/>
    </w:pPr>
  </w:style>
  <w:style w:type="paragraph" w:customStyle="1" w:styleId="NormalPar">
    <w:name w:val="NormalPar"/>
    <w:pPr>
      <w:bidi/>
    </w:pPr>
    <w:rPr>
      <w:rFonts w:cs="David"/>
      <w:sz w:val="24"/>
      <w:szCs w:val="24"/>
      <w:lang w:eastAsia="he-IL"/>
    </w:rPr>
  </w:style>
  <w:style w:type="paragraph" w:customStyle="1" w:styleId="NormalParL">
    <w:name w:val="NormalParL"/>
    <w:rPr>
      <w:rFonts w:cs="Miriam"/>
      <w:sz w:val="24"/>
      <w:szCs w:val="24"/>
      <w:lang w:val="en-GB" w:eastAsia="he-IL"/>
    </w:rPr>
  </w:style>
  <w:style w:type="character" w:styleId="a8">
    <w:name w:val="page number"/>
    <w:basedOn w:val="a0"/>
    <w:semiHidden/>
  </w:style>
  <w:style w:type="paragraph" w:styleId="a9">
    <w:name w:val="תואר"/>
    <w:basedOn w:val="a"/>
    <w:qFormat/>
    <w:pPr>
      <w:spacing w:before="240" w:after="60"/>
      <w:jc w:val="center"/>
      <w:outlineLvl w:val="0"/>
    </w:pPr>
    <w:rPr>
      <w:rFonts w:ascii="Arial" w:hAnsi="Arial" w:cs="Arial"/>
      <w:b/>
      <w:bCs/>
      <w:kern w:val="28"/>
      <w:sz w:val="32"/>
      <w:szCs w:val="32"/>
    </w:rPr>
  </w:style>
  <w:style w:type="paragraph" w:customStyle="1" w:styleId="annotationsubject">
    <w:name w:val="annotation subject"/>
    <w:basedOn w:val="aa"/>
    <w:next w:val="aa"/>
    <w:rPr>
      <w:b/>
      <w:bCs/>
    </w:rPr>
  </w:style>
  <w:style w:type="paragraph" w:styleId="aa">
    <w:name w:val="annotation text"/>
    <w:basedOn w:val="a"/>
    <w:semiHidden/>
    <w:pPr>
      <w:tabs>
        <w:tab w:val="left" w:pos="4109"/>
        <w:tab w:val="left" w:pos="6072"/>
      </w:tabs>
      <w:autoSpaceDE w:val="0"/>
      <w:autoSpaceDN w:val="0"/>
      <w:spacing w:after="240"/>
    </w:pPr>
    <w:rPr>
      <w:rFonts w:cs="David"/>
      <w:sz w:val="20"/>
      <w:szCs w:val="20"/>
    </w:rPr>
  </w:style>
  <w:style w:type="paragraph" w:customStyle="1" w:styleId="BalloonText">
    <w:name w:val="Balloon Text"/>
    <w:basedOn w:val="a"/>
    <w:pPr>
      <w:tabs>
        <w:tab w:val="left" w:pos="4109"/>
        <w:tab w:val="left" w:pos="6072"/>
      </w:tabs>
      <w:autoSpaceDE w:val="0"/>
      <w:autoSpaceDN w:val="0"/>
      <w:spacing w:after="240"/>
    </w:pPr>
    <w:rPr>
      <w:rFonts w:ascii="Tahoma" w:hAnsi="Tahoma" w:cs="Tahoma"/>
      <w:sz w:val="16"/>
      <w:szCs w:val="16"/>
    </w:rPr>
  </w:style>
  <w:style w:type="paragraph" w:customStyle="1" w:styleId="ab">
    <w:name w:val="מקור"/>
    <w:basedOn w:val="a"/>
    <w:next w:val="a"/>
    <w:autoRedefine/>
    <w:pPr>
      <w:tabs>
        <w:tab w:val="left" w:pos="6072"/>
      </w:tabs>
      <w:autoSpaceDE w:val="0"/>
      <w:autoSpaceDN w:val="0"/>
      <w:spacing w:before="40" w:after="40"/>
      <w:ind w:left="794"/>
    </w:pPr>
    <w:rPr>
      <w:rFonts w:cs="FrankRuehl"/>
      <w:szCs w:val="26"/>
    </w:rPr>
  </w:style>
  <w:style w:type="character" w:customStyle="1" w:styleId="10">
    <w:name w:val="ציטוט1"/>
    <w:basedOn w:val="a0"/>
    <w:rPr>
      <w:bCs/>
    </w:rPr>
  </w:style>
  <w:style w:type="character" w:customStyle="1" w:styleId="postbody">
    <w:name w:val="postbody"/>
    <w:basedOn w:val="a0"/>
  </w:style>
  <w:style w:type="character" w:customStyle="1" w:styleId="apple-style-span">
    <w:name w:val="apple-style-span"/>
    <w:basedOn w:val="a0"/>
  </w:style>
  <w:style w:type="character" w:customStyle="1" w:styleId="q">
    <w:name w:val="q"/>
    <w:basedOn w:val="a0"/>
  </w:style>
  <w:style w:type="character" w:customStyle="1" w:styleId="toctoggle">
    <w:name w:val="toctoggle"/>
    <w:basedOn w:val="a0"/>
  </w:style>
  <w:style w:type="character" w:customStyle="1" w:styleId="tocnumber">
    <w:name w:val="tocnumber"/>
    <w:basedOn w:val="a0"/>
  </w:style>
  <w:style w:type="character" w:customStyle="1" w:styleId="toctext">
    <w:name w:val="toctext"/>
    <w:basedOn w:val="a0"/>
  </w:style>
  <w:style w:type="character" w:customStyle="1" w:styleId="editsection">
    <w:name w:val="editsection"/>
    <w:basedOn w:val="a0"/>
  </w:style>
  <w:style w:type="character" w:customStyle="1" w:styleId="mw-headline">
    <w:name w:val="mw-headline"/>
    <w:basedOn w:val="a0"/>
  </w:style>
  <w:style w:type="paragraph" w:customStyle="1" w:styleId="NormalParH">
    <w:name w:val="NormalParH"/>
    <w:pPr>
      <w:autoSpaceDE w:val="0"/>
      <w:autoSpaceDN w:val="0"/>
      <w:bidi/>
      <w:adjustRightInd w:val="0"/>
      <w:jc w:val="right"/>
    </w:pPr>
    <w:rPr>
      <w:rFonts w:cs="David"/>
      <w:sz w:val="24"/>
      <w:szCs w:val="24"/>
      <w:lang w:eastAsia="he-IL"/>
    </w:rPr>
  </w:style>
  <w:style w:type="paragraph" w:styleId="ac">
    <w:name w:val="Plain Text"/>
    <w:basedOn w:val="a"/>
    <w:semiHidden/>
    <w:pPr>
      <w:spacing w:line="240" w:lineRule="auto"/>
      <w:jc w:val="left"/>
    </w:pPr>
    <w:rPr>
      <w:rFonts w:ascii="Courier New" w:hAnsi="Courier New" w:cs="Courier New"/>
      <w:sz w:val="20"/>
      <w:szCs w:val="20"/>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126BF58F1D3E534198274CAD27C9364B" ma:contentTypeVersion="15" ma:contentTypeDescription="צור מסמך חדש." ma:contentTypeScope="" ma:versionID="404f4c90b1dd83b821518da62684989d">
  <xsd:schema xmlns:xsd="http://www.w3.org/2001/XMLSchema" xmlns:xs="http://www.w3.org/2001/XMLSchema" xmlns:p="http://schemas.microsoft.com/office/2006/metadata/properties" xmlns:ns3="8893e021-340b-47fb-be7c-94ed5d83ed0a" targetNamespace="http://schemas.microsoft.com/office/2006/metadata/properties" ma:root="true" ma:fieldsID="13b81221d6f1d584edafc68ff58ba301" ns3:_="">
    <xsd:import namespace="8893e021-340b-47fb-be7c-94ed5d83ed0a"/>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93e021-340b-47fb-be7c-94ed5d83ed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8893e021-340b-47fb-be7c-94ed5d83ed0a" xsi:nil="true"/>
  </documentManagement>
</p:properties>
</file>

<file path=customXml/itemProps1.xml><?xml version="1.0" encoding="utf-8"?>
<ds:datastoreItem xmlns:ds="http://schemas.openxmlformats.org/officeDocument/2006/customXml" ds:itemID="{FAC85026-0394-48DE-8807-35518A7CE3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93e021-340b-47fb-be7c-94ed5d83ed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D8359F-D550-480E-A224-CEA1766FE870}">
  <ds:schemaRefs>
    <ds:schemaRef ds:uri="http://schemas.microsoft.com/sharepoint/v3/contenttype/forms"/>
  </ds:schemaRefs>
</ds:datastoreItem>
</file>

<file path=customXml/itemProps3.xml><?xml version="1.0" encoding="utf-8"?>
<ds:datastoreItem xmlns:ds="http://schemas.openxmlformats.org/officeDocument/2006/customXml" ds:itemID="{3C39F928-D217-4833-9B53-E754C33AECD1}">
  <ds:schemaRefs>
    <ds:schemaRef ds:uri="http://purl.org/dc/elements/1.1/"/>
    <ds:schemaRef ds:uri="http://schemas.microsoft.com/office/2006/metadata/properties"/>
    <ds:schemaRef ds:uri="http://schemas.microsoft.com/office/infopath/2007/PartnerControls"/>
    <ds:schemaRef ds:uri="http://purl.org/dc/terms/"/>
    <ds:schemaRef ds:uri="http://schemas.openxmlformats.org/package/2006/metadata/core-properties"/>
    <ds:schemaRef ds:uri="http://schemas.microsoft.com/office/2006/documentManagement/types"/>
    <ds:schemaRef ds:uri="8893e021-340b-47fb-be7c-94ed5d83ed0a"/>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721</Words>
  <Characters>3605</Characters>
  <Application>Microsoft Office Word</Application>
  <DocSecurity>4</DocSecurity>
  <Lines>30</Lines>
  <Paragraphs>8</Paragraphs>
  <ScaleCrop>false</ScaleCrop>
  <HeadingPairs>
    <vt:vector size="2" baseType="variant">
      <vt:variant>
        <vt:lpstr>שם</vt:lpstr>
      </vt:variant>
      <vt:variant>
        <vt:i4>1</vt:i4>
      </vt:variant>
    </vt:vector>
  </HeadingPairs>
  <TitlesOfParts>
    <vt:vector size="1" baseType="lpstr">
      <vt:lpstr>מסכת שבת</vt:lpstr>
    </vt:vector>
  </TitlesOfParts>
  <Company>מצפה יריחו</Company>
  <LinksUpToDate>false</LinksUpToDate>
  <CharactersWithSpaces>4318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מסכת שבת</dc:title>
  <dc:subject/>
  <dc:creator>אוריאל פרנק</dc:creator>
  <cp:keywords/>
  <dc:description/>
  <cp:lastModifiedBy>אוריאל פרנק</cp:lastModifiedBy>
  <cp:revision>2</cp:revision>
  <dcterms:created xsi:type="dcterms:W3CDTF">2026-10-19T14:11:00Z</dcterms:created>
  <dcterms:modified xsi:type="dcterms:W3CDTF">2026-10-19T14:11:00Z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0x010100126BF58F1D3E534198274CAD27C9364B</vt:lpwstr>
  </property>
</Properties>
</file>