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32"/>
          <w:szCs w:val="32"/>
          <w:u w:val="single"/>
        </w:rPr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תקנת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ברכות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תיקן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במאמר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ברצוני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לברר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שהתקנה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לברך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נתקנה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לנשים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ואבאר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בתלמוד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בבלי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ואבאר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שכן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דעתם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גדולי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האחרונים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שתקנת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נתקנה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מאחר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שראיתי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מאמרים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ופסקים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אחרוני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דורנו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שדנו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ורצו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לחייב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אישה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במאה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שהרחיקו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לכת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וכתבו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שזו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דעת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רוב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רמז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בדברי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בדברי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וגדולי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האחרונים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מצאתי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להיפך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שפשוט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לדעתם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פוסקי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הדורות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שרק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במאה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פסקי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דורנו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שכתבו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שאישה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פטורה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מתקנה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והאמת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איתם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הוכיחו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מדברי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ביררו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דבריהם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חז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ושאר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פוסקים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לברר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סוגיה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ובפרט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שזוהי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דעת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השו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מצאתי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לעצמי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וחובה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לברר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באריכות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שתקנת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נתקנה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rtl w:val="1"/>
        </w:rPr>
        <w:t xml:space="preserve">!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rFonts w:ascii="Arial" w:cs="Arial" w:eastAsia="Arial" w:hAnsi="Arial"/>
          <w:b w:val="1"/>
          <w:smallCaps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rtl w:val="1"/>
        </w:rPr>
        <w:t xml:space="preserve">מפתחות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rtl w:val="1"/>
        </w:rPr>
        <w:t xml:space="preserve">למאמר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חיוב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בשו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וטעם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המקור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להלכה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בבלי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מנחות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המקור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להלכה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בירושלמי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.</w:t>
      </w:r>
    </w:p>
    <w:bookmarkStart w:colFirst="0" w:colLast="0" w:name="gjdgxs" w:id="0"/>
    <w:bookmarkEnd w:id="0"/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הוכחות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מהירושלמי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שתקנה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נתקנה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ראיות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הפוסקים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שאין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מחלוקת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בין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דברי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הירושלמי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והבבלי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בירור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לשון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אדם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"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בדברי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חז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הוכחות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שגם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בתלמוד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בבלי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מסכת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מנחות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התקנה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היא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!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דיוק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נוסף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בשו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הוכחה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ממניין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הברכות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ידי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הפוסקים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רמזים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הראשונים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שמהם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נראה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שהתקנה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נתקנה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והוכחה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מפורשת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מתלמיד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המהר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גדולי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אחרונים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שמהם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נראה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שהתקנה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נתקנה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מקורות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נוספים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בעניין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שאלות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ותשובות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על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פטור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אישה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מתקנת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הסיבה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לכתיבת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המאמר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643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חיוב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בשו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וטעם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פסק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סעיף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והסביר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הטעם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במדרש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(=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bookmarkStart w:colFirst="0" w:colLast="0" w:name="30j0zll" w:id="1"/>
    <w:bookmarkEnd w:id="1"/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643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המקור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להלכה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בבלי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מנחות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המקור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ְ'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".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לכאורה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עדיין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bookmarkStart w:colFirst="0" w:colLast="0" w:name="1fob9te" w:id="2"/>
    <w:bookmarkEnd w:id="2"/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643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המקור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להלכה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בירושלמי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bookmarkStart w:colFirst="0" w:colLast="0" w:name="3znysh7" w:id="3"/>
      <w:bookmarkEnd w:id="3"/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bookmarkStart w:colFirst="0" w:colLast="0" w:name="2et92p0" w:id="4"/>
      <w:bookmarkEnd w:id="4"/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3"/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4"/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5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643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הוכחות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מהירושלמי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שתקנה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נתקנה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מתייחסים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קריאת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שמע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וברכותיה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ועבדים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וקטנים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..."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6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ברכה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לפני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המזון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ולאחר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המזון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7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שחובת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8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שתיים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רוצה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להשמיענו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שותפים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פשוט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פשוט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אדרבה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משותפים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bookmarkStart w:colFirst="0" w:colLast="0" w:name="2s8eyo1" w:id="5"/>
    <w:bookmarkEnd w:id="5"/>
    <w:p w:rsidR="00000000" w:rsidDel="00000000" w:rsidP="00000000" w:rsidRDefault="00000000" w:rsidRPr="00000000" w14:paraId="0000002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ראיות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הפוסקים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שאין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מחלוקת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בין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דברי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הירושלמי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והבבלי</w:t>
      </w:r>
      <w:r w:rsidDel="00000000" w:rsidR="00000000" w:rsidRPr="00000000">
        <w:rPr>
          <w:b w:val="1"/>
          <w:smallCaps w:val="0"/>
          <w:sz w:val="32"/>
          <w:szCs w:val="32"/>
          <w:u w:val="single"/>
          <w:vertAlign w:val="superscript"/>
        </w:rPr>
        <w:footnoteReference w:customMarkFollows="0" w:id="21"/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מסקנה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מחלוקת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בדיוק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המנהיג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עיניים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חדש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גרסתו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ּ]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ואינם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חולקים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המנהיג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"".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המנהיג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2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ּ':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".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כמקור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3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 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עיניים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המימרות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הנושא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בסגנון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עיניים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בשינוי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סגנון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ביכורים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ביכורים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"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smallCaps w:val="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5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bookmarkStart w:colFirst="0" w:colLast="0" w:name="17dp8vu" w:id="6"/>
      <w:bookmarkEnd w:id="6"/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ָ"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'"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27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פירוש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-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וסך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יחד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ומוסיף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'...'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שפירש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8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bookmarkStart w:colFirst="0" w:colLast="0" w:name="3rdcrjn" w:id="7"/>
      <w:bookmarkEnd w:id="7"/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ֹ]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ָ'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1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חדש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המימרות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מימרות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המקור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לפסיקת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32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הפסיקה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לתרץ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לתרץ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3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הכריעו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האחרונים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שהבאנו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בירור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לשון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אדם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"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בדברי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חז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בכמה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שפורסמו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לשיבוש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השולחן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ערוך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והעתיק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מסקנת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בפסוקים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6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בתחילה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מתייחס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7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תורה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לעצמה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ולשון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חכמים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u w:val="single"/>
          <w:rtl w:val="1"/>
        </w:rPr>
        <w:t xml:space="preserve">לעצמם</w:t>
      </w:r>
      <w:r w:rsidDel="00000000" w:rsidR="00000000" w:rsidRPr="00000000">
        <w:rPr>
          <w:smallCaps w:val="0"/>
          <w:sz w:val="24"/>
          <w:szCs w:val="24"/>
          <w:u w:val="single"/>
          <w:vertAlign w:val="superscript"/>
        </w:rPr>
        <w:footnoteReference w:customMarkFollows="0" w:id="38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באיסור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דאורייתא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באיסור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דרבנן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סברא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לחלק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39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תלוי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ששייך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ששייך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לשניהם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מסקנתו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לכלול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למעט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מסקנתו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למעט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'"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בסוגיית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בענייננו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מחויבת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דמחויבות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לכלול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מהירושלמי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1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בהמשך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השנייה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ֹ..."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2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מתייחסת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3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ודיבר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מוזכרים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וברית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מקבלים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ההנחה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עניין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נקל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להסכים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הוכחות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שגם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בתלמוד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בבלי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מסכת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מנחות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התקנה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היא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!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ניכר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שנתבאר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5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שנתבאר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מובן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חולקים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מחלוקת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מחלוקת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שביארנו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להסביר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מחלוקת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עליהן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יותר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מחלוקת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ׁ..."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46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בעניינינו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סיבה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להוכיח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ממשמעות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ההיפך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יקשה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המבואר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47"/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להסביר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במקרה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כפשטה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במקום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בעניינינו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להיפך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ויותר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כמעט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שכוונת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להמתין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טורח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שיאמרו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לאשתו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החידוש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יותר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כיצד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שזהו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חידושו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לעשות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משלימים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ופירות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מדוייקים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בשולחן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ערוך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0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ונפישי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שנפישי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מדויקים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1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 </w:t>
      </w:r>
      <w:bookmarkStart w:colFirst="0" w:colLast="0" w:name="26in1rg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שבשבתות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בפירוש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שבעין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יעקב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2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שבשבתות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עמידה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מספיק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ופירות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3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בהמשך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bookmarkStart w:colFirst="0" w:colLast="0" w:name="lnxbz9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u w:val="single"/>
          <w:rtl w:val="1"/>
        </w:rPr>
        <w:t xml:space="preserve">אישה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השתמש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איש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כוונתו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דיוק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נוסף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בשו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השולחן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ערוך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סעיף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ובהלכות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סימן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להמתין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להלכות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שדעת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נושאי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תענית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הכיפורים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החסרות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הרגילים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כיצד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הזהירו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לגרום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הזכירו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תענית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להיזהר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לדעתם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להזהיר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לסיכום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הנראה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מכל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האמור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שתיקן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המלך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הסנהדרין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שבדורו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55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משה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רבנו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היתה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לאנשים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בהמשך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ארבע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-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לדאוג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מתפללים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עמידה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חסרות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חסרות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ישלימו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מהמשך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  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הוכחה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ממניין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הברכות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על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ידי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הפוסקים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מובן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נמשכו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עבור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שדייקנו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השלמת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בשבתות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שטורחים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בדקדוק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שמקיימים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8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5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הגהות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מיימוניות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1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2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נושאי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שמברכין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הקוראים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המפטיר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3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עליהן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מעירים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הקבועות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הכיפורים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חסרות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החסרות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שחרית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הכיפורים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פתרי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שמטופלת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בילדים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קטנים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ישתבח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שיכולות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עליהן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שבע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שמוזכרת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מוסיף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שבתענית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המנחה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להוסיף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בתענית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פתרון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נחלקו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להתפלל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הובאו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דעותיהם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הדוגמאות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שעד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שיימנו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יותר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פשוט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השתמט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אתמהא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רמזים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הראשונים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שמהם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נראה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שהתקנה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נתקנה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והוכחה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מפורשת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מתלמיד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המהר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ומצאתי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כמלאכים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שאצטט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חלקם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בפירושם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זקנים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מנוח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בפירושו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אבודרהם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לאחריהם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ובפרט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מתלמידו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המהר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מרונבורג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ּ]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...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) [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[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]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הוכחות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מסידור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שבכדי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הכנסת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להוציא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בקי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נהגו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שמענו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שחייבו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להתפלל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כנסת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עמידה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תשע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להגיע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בסוף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הפיוט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\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כאלוהינו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מתקנים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\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נוהגים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סידור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עדות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שעיקר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מתקנים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הפיוט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\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השבח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כאלוקינו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שיסייע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מאיבירא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תלמיד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המהר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מרוטנבורג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ֹ'"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ֹ".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שהאיש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זקנים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1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הוכחה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שהגבר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מחוייב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גימטרייה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יברך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גבר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פשוט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מנוח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3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ְ'".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אבודרהם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רמז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האחרונים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למוצאם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אסתפק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bookmarkStart w:colFirst="0" w:colLast="0" w:name="44sinio" w:id="10"/>
    <w:bookmarkEnd w:id="10"/>
    <w:p w:rsidR="00000000" w:rsidDel="00000000" w:rsidP="00000000" w:rsidRDefault="00000000" w:rsidRPr="00000000" w14:paraId="0000007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מדברי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גדולי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אחרונים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שמהם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נראה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שהתקנה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נתקנה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לגברים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בלבד</w:t>
      </w:r>
    </w:p>
    <w:bookmarkStart w:colFirst="0" w:colLast="0" w:name="2jxsxqh" w:id="11"/>
    <w:bookmarkEnd w:id="11"/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אצרף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מספרי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ערוך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השולחן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7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שמלשונו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"".</w:t>
      </w:r>
    </w:p>
    <w:bookmarkStart w:colFirst="0" w:colLast="0" w:name="z337ya" w:id="12"/>
    <w:bookmarkEnd w:id="12"/>
    <w:p w:rsidR="00000000" w:rsidDel="00000000" w:rsidP="00000000" w:rsidRDefault="00000000" w:rsidRPr="00000000" w14:paraId="0000007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זוהר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הרקיע</w:t>
      </w:r>
      <w:r w:rsidDel="00000000" w:rsidR="00000000" w:rsidRPr="00000000">
        <w:rPr>
          <w:b w:val="1"/>
          <w:smallCaps w:val="0"/>
          <w:sz w:val="24"/>
          <w:szCs w:val="24"/>
          <w:vertAlign w:val="superscript"/>
        </w:rPr>
        <w:footnoteReference w:customMarkFollows="0" w:id="75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".</w:t>
      </w:r>
    </w:p>
    <w:bookmarkStart w:colFirst="0" w:colLast="0" w:name="3j2qqm3" w:id="13"/>
    <w:bookmarkEnd w:id="13"/>
    <w:p w:rsidR="00000000" w:rsidDel="00000000" w:rsidP="00000000" w:rsidRDefault="00000000" w:rsidRPr="00000000" w14:paraId="0000008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72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6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smallCaps w:val="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מקורות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נוספים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בעניין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להשלמת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המקורות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אוסיף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התיקונים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שבסוף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גרסתו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עמרם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גאון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גורס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שזוהי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שתיקן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גרסתו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אלוקיך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מעמך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רבה</w:t>
      </w:r>
      <w:bookmarkStart w:colFirst="0" w:colLast="0" w:name="1y810tw" w:id="14"/>
      <w:bookmarkEnd w:id="14"/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(=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)".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תנחומא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8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:</w:t>
      </w:r>
      <w:bookmarkStart w:colFirst="0" w:colLast="0" w:name="4i7ojhp" w:id="15"/>
      <w:bookmarkEnd w:id="15"/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-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ָ',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בפסיקתא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זוטרתא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לגבי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פסיקת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bookmarkStart w:colFirst="0" w:colLast="0" w:name="2xcytpi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ָּׁ"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ָּׁ"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ּ..."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אנחנו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להיפך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מסייע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גורסים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לשיטתם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מהתלמוד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43" w:hanging="360"/>
        <w:jc w:val="both"/>
      </w:pP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שאלות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ותשובות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על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פטור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אישה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מתקנת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מאה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ברכות</w:t>
      </w:r>
      <w:r w:rsidDel="00000000" w:rsidR="00000000" w:rsidRPr="00000000">
        <w:rPr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במאמר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ומאירים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שהתפרסמו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לאחרונה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הוספתי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חלק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להשלמת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הראיות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שהובאו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בכוחם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העתקתי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חלקם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ותירצתי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הסדר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תורצו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עיקר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נפשות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תיקן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מכיוון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והוכיחו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תירוצים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ואנקוט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סברא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בצורה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למצוא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וסברות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שקשורות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לחייבם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לדוגמא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סגולה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לפרנסה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שמניח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–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פרנסה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שמבטלה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בעידנא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דריתחא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נענש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ביטולה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ראיות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דימוי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וראיות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חזקות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עבודת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הקורבנות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1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עבודה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בכוהנים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עבודתם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כשדוד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מתקן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מכוחם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ינצלו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2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זכיין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?..."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שולחות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הילדים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להתחזק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בעבודת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להציל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סגולת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שמירה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3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במסכת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קידושין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מלכתחילה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שמירת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5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במעשה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אונקלוס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ושומרת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מלכתחילה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וטעמם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שמירה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עניינם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הטוב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קידוש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הגדול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הודאה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הטוב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והמשכת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6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ממזוזה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למילתא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במילתא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לקשור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נודע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ביטול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ביטול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אנחנו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לעורר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שיתחזקו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שחיזוק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בעיקר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וחנוכה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טיעון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בדורנו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קודמים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בגלל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שדייקנו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כדלקמן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להוסיף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הבדל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הגזירות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ובחנוכה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המלך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והודיעוהו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תיעצר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שהודיעוהו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יברכו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יספיק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לעצור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ואדרבא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לטובתנו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שבחנוכה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ופורים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במקומות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בנר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חנוכה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הזכיר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לצרף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המוזכר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המגיפה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"...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(=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)". 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בשביל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פסק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הברייתא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בערכין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8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8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הגזירה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במדרש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תנחומא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סימן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שהגזירה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המזכירים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בחורים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לדייק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הגזירה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שאליו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הסמיכו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ְׂ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..."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לכאורה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מדרבנן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אסמכתא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וכשתיקנו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דאורייתא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לדעתם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להסביר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אסמכתא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בעלמא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1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ולדעת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והלימוד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אסמכתא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',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דרבנן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דאורייתא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תסור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אסמכתא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להסביר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מתמלאים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ומקיימים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מקיימות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שבתפילה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פעם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הנוסח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יוצאות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בקשה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חכמים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יקיימו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בדרכן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טבען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ואופיין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שווים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דוגמא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שהזכרנו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בהערות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': 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ִּׁ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פטורות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ממצווה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החינוך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שכוונת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ללמד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מקיימות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בעליהן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בכתיבת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הילדים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והבעלים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2"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עובדה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מהראשונים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מדבריהם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דאורייתא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המנהיג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').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מחויב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שעות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היממה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ויכול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לקיימם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תמיד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נחשב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מלכתחילה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שתירצו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אדרבא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להקשות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לשיטתם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מחייבים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קריאת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הסוברים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לברכם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וכדומה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יקשה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רשאי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לגזור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כנגד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להיתר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מסתבר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3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להפוך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עבורן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בצורה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עקיפה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בסידור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אבודרהם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4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הפטור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רצה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לגרום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פגיעה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בשלום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משועבדת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לבעלה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תקיים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פנויה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לעיסוק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בצורכי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4.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כאן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פסוקים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נובעת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מחוסר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תשומת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בהלכות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לעומת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מקומות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ופירט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במפורש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לדוגמא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בהלכות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מגילה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5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תרפ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6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המילים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לפרט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שלשון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תמיד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ושמוכח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בסמוך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אחרי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נוספת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שבמימרא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שדייקנו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שבגמרא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התוספתא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בלשונו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כוונתו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יצ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7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8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להקב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99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וכיוון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וציצית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מערכת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אומרים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המדובר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העניין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שביארתי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שהביטוי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מופיע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–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חמד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–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מספר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הפעמים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שהמילה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במקומות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שהכוונה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שרצו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להוכיח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לכאורה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שסיבת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הטור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ּׁ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סו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ֱ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לעצם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הסיבה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השחר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הסברנו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בהערה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18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לכאורה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אפשר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לשאול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שותפות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במניין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?!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שרבי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משותפות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שבוודאי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משלימות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כגון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טלית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ותפילין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שרצה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להקשות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המוזכרות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מתמיה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קושיא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פירוש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אותם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בעצמו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לפרש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ולהראות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מקורם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ובדברי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בעצמו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שמברכים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שברור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שסובר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הכסף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כמקור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לדברי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הרמב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והירושלמי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240" w:lineRule="auto"/>
        <w:ind w:left="643" w:hanging="360"/>
        <w:jc w:val="both"/>
      </w:pP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סיבות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לכתיבת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המאמר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וסיבה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לאריכותו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ראשית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רופפת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בידיך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למדונו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'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חזי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שמענו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שחינכו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הבנות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לשאלתי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המפורשת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להורי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בידם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מסורת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התשובה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הייתה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וכמדומני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מסורת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בשאר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קהילות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ישראל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שפרסמו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התעורר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בדורנו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החלטתי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סוגיא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ביסודיות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שנית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השתדלתי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להביא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מעצמי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חילוקי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וסברות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לסיבה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מדוע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דבר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1"/>
        </w:rPr>
        <w:t xml:space="preserve">שלישי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לכתוב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בקיצור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ולומר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פטורה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מתקנת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נתקנה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לגברים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בלבד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שמוכח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בירושלמי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מנחות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וזוהי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הראשונים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וגדולי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האחרונים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וכך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משמע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כתבתי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גדולה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מפני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שראיתי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בדורנו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שפרסמו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שכביכול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לברך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שזוהי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שנראה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עיינו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היטב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מכיוון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חשש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לבטלה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וחשש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יברכו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הפרעה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בשלום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כפי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באבודרהם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בסיבת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הפטור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ממצוות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שהזמן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גרמא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לשונו</w:t>
      </w:r>
      <w:r w:rsidDel="00000000" w:rsidR="00000000" w:rsidRPr="00000000">
        <w:rPr>
          <w:smallCaps w:val="0"/>
          <w:sz w:val="24"/>
          <w:szCs w:val="24"/>
          <w:vertAlign w:val="superscript"/>
        </w:rPr>
        <w:footnoteReference w:customMarkFollows="0" w:id="100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ֶׂ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ֹ".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הארכתי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לבאר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באריכות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כמובן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bookmarkStart w:colFirst="0" w:colLast="0" w:name="1ci93xb" w:id="17"/>
      <w:bookmarkEnd w:id="17"/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הרוצה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לעשות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בתנאי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שתזהר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1.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בנדר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2.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להיזהר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מחשש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שאינה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3.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הסכמת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4.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מתפללת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שלוש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תפילות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צריכה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להכיר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בעצמה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זריזה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ויכולה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בהם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כהלכה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 5.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שבדורנו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להרבות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נדבה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מצד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שהיא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איננה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מתפללת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בציבור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ט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ֻ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ץ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ף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צ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יך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ּׁ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ס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ֲ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ֵּ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".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ֶּ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ִ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ָ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ְּ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ַׁ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ַּ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ֹ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').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ועוד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דווקא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בציבור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למתפלל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בתפילת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הלחש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אהל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ביחיד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חייב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שמא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היחיד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הוא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גם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כציבור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(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פוסקים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שכתבו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שביחיד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מספיק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לכוון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בברכה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ראשונה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) 6.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לדעת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שאולי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מידת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חסידות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אחרי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הדקדוקים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הללו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האמת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ניתנת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להיאמר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שחז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תיקנו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מאה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ברכות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כלל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ואם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יש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אישה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שרוצה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לקבל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עצמה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בלי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נדר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יהיה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ממידת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חסידות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,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אולם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לקבוע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זאת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בתור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חיוב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לכל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הנשים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זה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באתי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סעדיה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א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"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ד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1"/>
        </w:rPr>
        <w:t xml:space="preserve">הערות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על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הדברים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יתקבלו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בשמחה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במייל</w:t>
      </w:r>
      <w:r w:rsidDel="00000000" w:rsidR="00000000" w:rsidRPr="00000000">
        <w:rPr>
          <w:smallCaps w:val="0"/>
          <w:sz w:val="24"/>
          <w:szCs w:val="24"/>
          <w:rtl w:val="1"/>
        </w:rPr>
        <w:t xml:space="preserve">: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saadiaed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1@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gmail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com</w:t>
      </w:r>
    </w:p>
    <w:sectPr>
      <w:pgSz w:h="15840" w:w="12240" w:orient="portrait"/>
      <w:pgMar w:bottom="340" w:top="340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ונשתכח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שעמד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והחזירה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מודיע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המגפה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וחכמי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הסנהדרין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שחזרו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ותיקנו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בהערה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</w:footnote>
  <w:footnote w:id="1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59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נטרונאי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גאון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המובא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59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שנשתכח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נשתכח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וחזרו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חכמי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ויסדו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ֹ'"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שרישא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שיסדם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ומסיני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תיקן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כשירד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אומץ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שתוקף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תסור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line="259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איננה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דאורייתא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מציוויו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נטרונאי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גאון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ּ':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."</w:t>
      </w:r>
    </w:p>
  </w:footnote>
  <w:footnote w:id="2"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כוונתי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וגדולי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שהשיגה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מפוסקי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שאבטל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</w:t>
      </w:r>
    </w:p>
  </w:footnote>
  <w:footnote w:id="3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משועבדת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עסוקה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חובותיה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אבודרהם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שאצטט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בהערות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בגרסת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בהערה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</w:p>
  </w:footnote>
  <w:footnote w:id="9"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"".</w:t>
      </w:r>
    </w:p>
  </w:footnote>
  <w:footnote w:id="10">
    <w:bookmarkStart w:colFirst="0" w:colLast="0" w:name="tyjcwt" w:id="18"/>
    <w:bookmarkEnd w:id="18"/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</w:t>
      </w:r>
    </w:p>
  </w:footnote>
  <w:footnote w:id="12"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בשלמותה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הנידונים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שיתבאר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ציצית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אגב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אברר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כאן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שפשט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רבי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מאיר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אף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לכאורה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אולי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אפשר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שאמנם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המאמרים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בבלי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מנחות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מסכת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דומים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אפשר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אינו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מדבר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תקנת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שעושה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בישראל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?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הסיבה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לשאלה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מפני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שכאן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כתוב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במפורש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ְׂ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ֶׂ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מהמשך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הגמרא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נראה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שמדובר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בברכה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עצמן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מפני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שכתוב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במפורש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ע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ֲ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מברך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ְׁ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ובסה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קריאת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המזון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שלוש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תפילות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ושאר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עושה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'. 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שלוש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הוכחות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שהמדובר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דווקא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סתם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רצה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רבי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מאיר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לדבר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מישראל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מקיים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דווקא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צריך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רוצה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מצטרפות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ביחד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צריך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/>
        <w:ind w:left="360" w:hanging="360"/>
        <w:jc w:val="both"/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דווקא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שמברכים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קריאת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וברכותיה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אוכל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המזון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ושלוש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תפילות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ומסיים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שעושה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כלל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מברכים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כגון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גמילות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חסדים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וצדקה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עליהן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ללמדנו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שהמדובר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hanging="360"/>
        <w:jc w:val="both"/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הדוגמא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ואוכל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פתו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ומברך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לפניה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ולאחריה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מצאנו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שבימי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החול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לאכול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יודעים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עליו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חובה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ומצווה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המזון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לאכול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החול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1"/>
        </w:rPr>
        <w:t xml:space="preserve">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נראה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ברור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מדבר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שצריך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מוכח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שכך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הבינו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הפוסקים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המנהיג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ועוד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פוסקים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שאצטט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כמה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בהמשך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מדבר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כתב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במפורש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החיד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בשו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יוסף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אומץ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סימן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גורס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ראיתי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שהמדובר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נשאלתי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להתאמץ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לאפוקי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לכמחצית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והמחצית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פתרי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לדייק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שהשוו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הבבלי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ביכורים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התוספתא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כמעט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חמישים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שביארנו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ולהסביר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שבדורנו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נדבה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שירצו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והפירוש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לסמוך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אומץ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שבדורנו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להרבות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נדבה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5.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הלחש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bookmarkStart w:colFirst="0" w:colLast="0" w:name="3dy6vkm" w:id="19"/>
      <w:bookmarkEnd w:id="19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למתפלל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הלחש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ששמעתי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במסורת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הרצבי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תלמידיו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בלימוד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להסיק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מסקנות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להסיק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מסקנות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ובפרט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הובאו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בגאונים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קודמים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6"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</w:t>
      </w:r>
    </w:p>
  </w:footnote>
  <w:footnote w:id="17"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1t3h5sf" w:id="20"/>
      <w:bookmarkEnd w:id="2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לכאורה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נמנה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משותפות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משלימות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bookmarkStart w:colFirst="0" w:colLast="0" w:name="4d34og8" w:id="21"/>
    <w:bookmarkEnd w:id="21"/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ופשיטא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שלשיטת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פטורות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מזכיר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שמתפללים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שסובר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שתקנו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וחייבו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להוכיח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לשיטתו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שהסבירו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ומנחה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שסובר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להאריך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</w:footnote>
  <w:footnote w:id="19"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בתוספתא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</w:footnote>
  <w:footnote w:id="20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"".</w:t>
      </w:r>
    </w:p>
  </w:footnote>
  <w:footnote w:id="21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ופסיקת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הגאון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ראובן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מדנבורג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ילדותו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וצעירותו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ֶׂ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דענאבארג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."</w:t>
      </w:r>
    </w:p>
  </w:footnote>
  <w:footnote w:id="22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הוספתי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</w:footnote>
  <w:footnote w:id="26"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הוספתי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</w:footnote>
  <w:footnote w:id="27"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ביכורים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תוספתא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0"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שהפרי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מלאכי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התלמודים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הפוסקים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מפסוקים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בתורה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נאמר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וחווה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יחד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נקראים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',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ְׁ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" (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בראשית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').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וחווה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יחד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-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מכאן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רואים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שהביטוי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בתורה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כולל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ולעומת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הפסוק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ְּ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פ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ֶ֥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ָ֖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ֶׁ֥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ָּֽ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(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ישעיהו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).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הוכיח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המדובר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כתב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בספר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השורשים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פסוק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וקראו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לנשים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מכאן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רואים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שיש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מקומות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בתנ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מדבר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שדי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חמד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בזה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באריכות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עוד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פסוקים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ודרשות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בעניין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אולם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לענייננו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מסיק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תורה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לחוד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חכמים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לחוד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חכמים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שבלשון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חכמים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מצאנו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מקומות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שאמרו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כולל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האיש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האישה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כגון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ֲ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ירו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",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ֲ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ירו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ֹ...".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שני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לכך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שהביטוי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מתייחס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לגברים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כגון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ף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יחו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ֲ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-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ֱ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'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ִּׁ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(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).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כתב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בספר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החינוך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מצווה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כתיבת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ספר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תורה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ַּ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ז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ְּ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ים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ֹ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רואים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כאן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שבלשון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לפעמים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הכוונה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לגברים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ועיין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נוספות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והוסיף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שהדוגמאות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זו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בחז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ַּ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ֵּ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שראיתי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שהשתבש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בהבנת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9"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שבאיסורים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חילוק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</w:footnote>
  <w:footnote w:id="40"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שהעלנו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בגרסתו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גאון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במימרא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שביארנו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מזוזה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הגירסא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בירושלמי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</w:t>
      </w:r>
    </w:p>
  </w:footnote>
  <w:footnote w:id="44"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smallCaps w:val="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mallCaps w:val="0"/>
          <w:rtl w:val="0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מפני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ֶׁ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ָּ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המצוות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: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קריאת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וברכותיה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הפת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ושלוש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תפילות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שמונה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עשרה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שבכל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(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לפוסקים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הסוברים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חייבות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בתפילת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שמונה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עשרה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מודים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שפטורות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מתפילת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ערבית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ועיין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סימן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ס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'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הובא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לעיל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בהערות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.).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והרי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קריאת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וברכותיה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שלוש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תפילות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שמונה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עשרה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שייכות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לגברים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כנ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(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אגב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לפוסקים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שמונים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שמונה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הפת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מוסיפים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שתי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בסוף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המזון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וברכה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על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לגברים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בלבד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).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התלמוד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ומלשון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התוספתא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("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אחד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מישראל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בתוספתא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אין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מישראל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").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משמע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שרבי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מאיר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בא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לומר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פשוט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לאדם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מישראל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להגיע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ין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ך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ח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ִּ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ְׂ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ָ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ֵ</w:t>
      </w:r>
      <w:r w:rsidDel="00000000" w:rsidR="00000000" w:rsidRPr="00000000">
        <w:rPr>
          <w:b w:val="1"/>
          <w:smallCaps w:val="0"/>
          <w:sz w:val="20"/>
          <w:szCs w:val="20"/>
          <w:rtl w:val="1"/>
        </w:rPr>
        <w:t xml:space="preserve">ל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0"/>
          <w:szCs w:val="20"/>
          <w:rtl w:val="1"/>
        </w:rPr>
        <w:t xml:space="preserve">"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שאינו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מברך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והרי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איננו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פשוט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כלל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לאישה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להגיע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למאה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בכל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יום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וכן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,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מכוון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גם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אדרבה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צריך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היה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למנות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ברכות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שנשים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וגברים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משותפים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 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בהם</w:t>
      </w:r>
      <w:r w:rsidDel="00000000" w:rsidR="00000000" w:rsidRPr="00000000">
        <w:rPr>
          <w:smallCaps w:val="0"/>
          <w:sz w:val="20"/>
          <w:szCs w:val="20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48"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שמפרש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שמידת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חסידות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חסידות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</w:footnote>
  <w:footnote w:id="49"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שדעתם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הבבלי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במנחות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בתקנת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</w:footnote>
  <w:footnote w:id="50"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1"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שאצטט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מבואר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2"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כלשונו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העתיק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3"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בגמרא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244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</w:t>
      </w:r>
    </w:p>
  </w:footnote>
  <w:footnote w:id="55"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ּ':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."</w:t>
      </w:r>
    </w:p>
  </w:footnote>
  <w:footnote w:id="56">
    <w:bookmarkStart w:colFirst="0" w:colLast="0" w:name="35nkun2" w:id="22"/>
    <w:bookmarkEnd w:id="22"/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המנהיג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</w:t>
      </w:r>
    </w:p>
  </w:footnote>
  <w:footnote w:id="57"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שפירשו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8"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סידור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0"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בשמיעת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קריאת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לשמוע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ההפטרה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4"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שהחזן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5"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הוכחה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בתעניות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שיתעטף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ויניח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</w:footnote>
  <w:footnote w:id="66"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'"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תהילים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צוטט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וגדולי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שהבאתי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העתקי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בתחילה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מנוח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</w:footnote>
  <w:footnote w:id="68"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זקנים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1"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והקרי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bookmarkStart w:colFirst="0" w:colLast="0" w:name="1ksv4uv" w:id="23"/>
    <w:bookmarkEnd w:id="23"/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4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הרקיע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תנחומא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פסיקתא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זוטרתא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שחיבר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עשיתני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</w:t>
      </w:r>
    </w:p>
  </w:footnote>
  <w:footnote w:id="80"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שמעון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הצדיק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גמילות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חסדים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ופירש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ברטנורא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הקורבנות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אונקלוס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7"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ערכין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89"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תנחומא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1"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שביאר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בהקדמה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2"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זכיין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</w:t>
      </w:r>
    </w:p>
  </w:footnote>
  <w:footnote w:id="93"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לתקן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המפורש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4"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5"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6"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98"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</w:t>
      </w:r>
    </w:p>
  </w:footnote>
  <w:footnote w:id="99"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100"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ְּׁ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99" w:hanging="129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019" w:hanging="20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739" w:hanging="273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459" w:hanging="345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179" w:hanging="417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99" w:hanging="489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19" w:hanging="56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339" w:hanging="633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43" w:hanging="643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840" w:hanging="68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