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B060" w14:textId="7A08955D" w:rsidR="001250C8" w:rsidRDefault="00B45A22" w:rsidP="006A29B5">
      <w:pPr>
        <w:rPr>
          <w:rtl/>
        </w:rPr>
      </w:pPr>
      <w:r w:rsidRPr="001250C8">
        <w:rPr>
          <w:rFonts w:hint="cs"/>
          <w:rtl/>
        </w:rPr>
        <w:t>בס"ד</w:t>
      </w:r>
      <w:r w:rsidR="00C66FD7">
        <w:rPr>
          <w:rFonts w:hint="cs"/>
          <w:rtl/>
        </w:rPr>
        <w:t>, ראש חודש אייר תשפ"ד</w:t>
      </w:r>
    </w:p>
    <w:p w14:paraId="36570E4A" w14:textId="35940C2F" w:rsidR="00C66FD7" w:rsidRDefault="00C66FD7" w:rsidP="00C66FD7">
      <w:pPr>
        <w:pStyle w:val="a3"/>
        <w:rPr>
          <w:rtl/>
        </w:rPr>
      </w:pPr>
      <w:r>
        <w:rPr>
          <w:rFonts w:hint="cs"/>
          <w:rtl/>
        </w:rPr>
        <w:t>בבא מציעא דף ע"א, הלוואה בריבית לאינו יהודי</w:t>
      </w:r>
    </w:p>
    <w:p w14:paraId="0BA44842" w14:textId="1D5AB893" w:rsidR="00C66FD7" w:rsidRPr="00C66FD7" w:rsidRDefault="00C66FD7" w:rsidP="00C66FD7">
      <w:pPr>
        <w:jc w:val="center"/>
        <w:rPr>
          <w:b/>
          <w:bCs/>
          <w:rtl/>
        </w:rPr>
      </w:pPr>
      <w:r w:rsidRPr="00C66FD7">
        <w:rPr>
          <w:rFonts w:hint="cs"/>
          <w:b/>
          <w:bCs/>
          <w:rtl/>
        </w:rPr>
        <w:t>לעילוי נשמת מו"ר הרב אהרן ליכטנשטיין זצ"ל</w:t>
      </w:r>
    </w:p>
    <w:p w14:paraId="72B1723A" w14:textId="47873512" w:rsidR="00ED7581" w:rsidRDefault="00ED7581" w:rsidP="00ED7581">
      <w:pPr>
        <w:rPr>
          <w:b/>
          <w:bCs/>
          <w:rtl/>
        </w:rPr>
      </w:pPr>
      <w:r>
        <w:rPr>
          <w:rFonts w:hint="cs"/>
          <w:b/>
          <w:bCs/>
          <w:rtl/>
        </w:rPr>
        <w:t xml:space="preserve">ויקיפדיה: </w:t>
      </w:r>
      <w:r w:rsidRPr="00ED7581">
        <w:rPr>
          <w:rFonts w:hint="cs"/>
          <w:rtl/>
        </w:rPr>
        <w:t>"</w:t>
      </w:r>
      <w:r w:rsidRPr="00ED7581">
        <w:rPr>
          <w:rtl/>
        </w:rPr>
        <w:t>ב</w:t>
      </w:r>
      <w:hyperlink r:id="rId6" w:tooltip="ימי הביניים" w:history="1">
        <w:r w:rsidRPr="00ED7581">
          <w:rPr>
            <w:rtl/>
          </w:rPr>
          <w:t>ימי הביניים</w:t>
        </w:r>
      </w:hyperlink>
      <w:r w:rsidRPr="00ED7581">
        <w:t> </w:t>
      </w:r>
      <w:r w:rsidRPr="00ED7581">
        <w:rPr>
          <w:rtl/>
        </w:rPr>
        <w:t>ועד ל</w:t>
      </w:r>
      <w:hyperlink r:id="rId7" w:tooltip="המאה ה-19" w:history="1">
        <w:r w:rsidRPr="00ED7581">
          <w:rPr>
            <w:rtl/>
          </w:rPr>
          <w:t>מאה ה-19</w:t>
        </w:r>
      </w:hyperlink>
      <w:r w:rsidRPr="00ED7581">
        <w:t> </w:t>
      </w:r>
      <w:r w:rsidRPr="00ED7581">
        <w:rPr>
          <w:rtl/>
        </w:rPr>
        <w:t>עסקו </w:t>
      </w:r>
      <w:hyperlink r:id="rId8" w:tooltip="יהודים" w:history="1">
        <w:r w:rsidRPr="00ED7581">
          <w:rPr>
            <w:rtl/>
          </w:rPr>
          <w:t>יהודים</w:t>
        </w:r>
      </w:hyperlink>
      <w:r w:rsidRPr="00ED7581">
        <w:t> </w:t>
      </w:r>
      <w:r w:rsidRPr="00ED7581">
        <w:rPr>
          <w:rtl/>
        </w:rPr>
        <w:t>רבים בהלוואה בריבית. מאחר שה</w:t>
      </w:r>
      <w:hyperlink r:id="rId9" w:tooltip="כנסייה" w:history="1">
        <w:r w:rsidRPr="00ED7581">
          <w:rPr>
            <w:rtl/>
          </w:rPr>
          <w:t>כנסייה</w:t>
        </w:r>
      </w:hyperlink>
      <w:r w:rsidRPr="00ED7581">
        <w:t> </w:t>
      </w:r>
      <w:r w:rsidRPr="00ED7581">
        <w:rPr>
          <w:rtl/>
        </w:rPr>
        <w:t>אסרה על </w:t>
      </w:r>
      <w:hyperlink r:id="rId10" w:tooltip="נוצרים" w:history="1">
        <w:r w:rsidRPr="00ED7581">
          <w:rPr>
            <w:rtl/>
          </w:rPr>
          <w:t>נוצרים</w:t>
        </w:r>
      </w:hyperlink>
      <w:r w:rsidRPr="00ED7581">
        <w:t> </w:t>
      </w:r>
      <w:r w:rsidRPr="00ED7581">
        <w:rPr>
          <w:rtl/>
        </w:rPr>
        <w:t>לעסוק בתחום זה, מצאו בו יהודים רבים את פרנסתם. הריבית שהייתה נהוגה על הלוואותיהם הייתה גבוהה מאוד, על מנת לפצות על הסיכון הגדול הכרוך בה, ולפיכך עוררה בלווים טינה רבה כלפי נושיהם היהודים</w:t>
      </w:r>
      <w:r>
        <w:rPr>
          <w:rFonts w:hint="cs"/>
          <w:rtl/>
        </w:rPr>
        <w:t xml:space="preserve">. </w:t>
      </w:r>
      <w:r w:rsidRPr="00ED7581">
        <w:rPr>
          <w:rtl/>
        </w:rPr>
        <w:t>יהודי </w:t>
      </w:r>
      <w:hyperlink r:id="rId11" w:tooltip="אירופה" w:history="1">
        <w:r w:rsidRPr="00ED7581">
          <w:rPr>
            <w:rtl/>
          </w:rPr>
          <w:t>אירופה</w:t>
        </w:r>
      </w:hyperlink>
      <w:r w:rsidRPr="00ED7581">
        <w:t> </w:t>
      </w:r>
      <w:r w:rsidRPr="00ED7581">
        <w:rPr>
          <w:rtl/>
        </w:rPr>
        <w:t>לא נכנסו לעסקי ההלוואה בריבית להמונים מרצונם, אלא נדחקו אליהם שלא בטובתם</w:t>
      </w:r>
      <w:r>
        <w:rPr>
          <w:rFonts w:hint="cs"/>
          <w:rtl/>
        </w:rPr>
        <w:t xml:space="preserve"> ... </w:t>
      </w:r>
      <w:hyperlink r:id="rId12" w:tooltip="המאה ה-12" w:history="1">
        <w:r w:rsidRPr="00ED7581">
          <w:rPr>
            <w:rtl/>
          </w:rPr>
          <w:t>המאה ה-12</w:t>
        </w:r>
      </w:hyperlink>
      <w:r>
        <w:t xml:space="preserve"> </w:t>
      </w:r>
      <w:r w:rsidRPr="00ED7581">
        <w:rPr>
          <w:rtl/>
        </w:rPr>
        <w:t>הייתה תקופה של פריחה כלכלית ותרבותית, אולם דווקא בה מצאו עצמם היהודים מוגבלים באפשרויות התעסוקה שלהם. מהמסחר נדחקו כאמור, והדרך לתעסוקה כבעלי מלאכה או מקצוע, הייתה חסומה מבפניהם מפני שלא התקבלו כחברים ב</w:t>
      </w:r>
      <w:hyperlink r:id="rId13" w:tooltip="גילדה" w:history="1">
        <w:r w:rsidRPr="00ED7581">
          <w:rPr>
            <w:rtl/>
          </w:rPr>
          <w:t>גילדות</w:t>
        </w:r>
      </w:hyperlink>
      <w:r w:rsidRPr="00ED7581">
        <w:t> </w:t>
      </w:r>
      <w:r w:rsidRPr="00ED7581">
        <w:rPr>
          <w:rtl/>
        </w:rPr>
        <w:t>המקצועיות</w:t>
      </w:r>
      <w:r>
        <w:rPr>
          <w:rFonts w:hint="cs"/>
          <w:rtl/>
        </w:rPr>
        <w:t xml:space="preserve"> ...</w:t>
      </w:r>
      <w:r w:rsidRPr="00ED7581">
        <w:rPr>
          <w:rtl/>
        </w:rPr>
        <w:t xml:space="preserve"> כל שנותר ליהודים היה לפנות להלוואה בריבית, שם הגן עליהם האיסור הכנסייתי, שלא חל עליהם, מתחרות. בתחילה הלוו כספים למלכים ול</w:t>
      </w:r>
      <w:hyperlink r:id="rId14" w:tooltip="אצולה" w:history="1">
        <w:r w:rsidRPr="00ED7581">
          <w:rPr>
            <w:rtl/>
          </w:rPr>
          <w:t>אצולה</w:t>
        </w:r>
      </w:hyperlink>
      <w:r w:rsidRPr="00ED7581">
        <w:t> </w:t>
      </w:r>
      <w:r w:rsidRPr="00ED7581">
        <w:rPr>
          <w:rtl/>
        </w:rPr>
        <w:t>הגבוהה, אולם גם מעיסוק זה נדחקו על ידי הסוחרים האיטלקיים וה</w:t>
      </w:r>
      <w:hyperlink r:id="rId15" w:tooltip="גרמנים" w:history="1">
        <w:r w:rsidRPr="00ED7581">
          <w:rPr>
            <w:rtl/>
          </w:rPr>
          <w:t>גרמנים</w:t>
        </w:r>
      </w:hyperlink>
      <w:r>
        <w:rPr>
          <w:rFonts w:hint="cs"/>
          <w:rtl/>
        </w:rPr>
        <w:t xml:space="preserve">. </w:t>
      </w:r>
      <w:r w:rsidRPr="00ED7581">
        <w:rPr>
          <w:rtl/>
        </w:rPr>
        <w:t>בלית ברירה החלו להלוות כספים בריבית גבוהה לאנשים בעלי הכנסה דלה. עיסוקם זה עורר כלפיהם שנאה עזה, אף בעידודה של הכנסייה, שהוקיעה את ההלוואה בריבית כמעשה נבלה</w:t>
      </w:r>
      <w:r>
        <w:rPr>
          <w:rFonts w:hint="cs"/>
          <w:rtl/>
        </w:rPr>
        <w:t xml:space="preserve">. </w:t>
      </w:r>
      <w:r w:rsidRPr="00ED7581">
        <w:rPr>
          <w:rtl/>
        </w:rPr>
        <w:t>הדמות שיילוק, במחזה</w:t>
      </w:r>
      <w:r>
        <w:rPr>
          <w:rFonts w:hint="cs"/>
          <w:rtl/>
        </w:rPr>
        <w:t xml:space="preserve"> "הסוחר מוונציה של שייקספיר, </w:t>
      </w:r>
      <w:r w:rsidRPr="00ED7581">
        <w:rPr>
          <w:rtl/>
        </w:rPr>
        <w:t>מהווה דוגמה בולטת ל</w:t>
      </w:r>
      <w:hyperlink r:id="rId16" w:tooltip="סטריאוטיפ" w:history="1">
        <w:r w:rsidRPr="00ED7581">
          <w:rPr>
            <w:rtl/>
          </w:rPr>
          <w:t>סטריאוטיפ</w:t>
        </w:r>
      </w:hyperlink>
      <w:r w:rsidRPr="00ED7581">
        <w:t> </w:t>
      </w:r>
      <w:r w:rsidRPr="00ED7581">
        <w:rPr>
          <w:rtl/>
        </w:rPr>
        <w:t>שדבק ביהודים מלווי הריבית</w:t>
      </w:r>
      <w:r>
        <w:rPr>
          <w:rFonts w:hint="cs"/>
          <w:rtl/>
        </w:rPr>
        <w:t>".</w:t>
      </w:r>
    </w:p>
    <w:p w14:paraId="290BC2D1" w14:textId="433D8625" w:rsidR="00ED7581" w:rsidRDefault="00ED7581" w:rsidP="00ED7581">
      <w:pPr>
        <w:rPr>
          <w:b/>
          <w:bCs/>
          <w:rtl/>
        </w:rPr>
      </w:pPr>
    </w:p>
    <w:p w14:paraId="2A501874" w14:textId="5008D546" w:rsidR="00ED7581" w:rsidRPr="00ED7581" w:rsidRDefault="00ED7581" w:rsidP="00ED7581">
      <w:pPr>
        <w:rPr>
          <w:b/>
          <w:bCs/>
          <w:u w:val="single"/>
          <w:rtl/>
        </w:rPr>
      </w:pPr>
      <w:r>
        <w:rPr>
          <w:rFonts w:hint="cs"/>
          <w:b/>
          <w:bCs/>
          <w:u w:val="single"/>
          <w:rtl/>
        </w:rPr>
        <w:t>א. דין תורה</w:t>
      </w:r>
    </w:p>
    <w:p w14:paraId="72172A2A" w14:textId="0D7593BD" w:rsidR="006A29B5" w:rsidRDefault="00ED7581" w:rsidP="00ED7581">
      <w:pPr>
        <w:rPr>
          <w:rtl/>
        </w:rPr>
      </w:pPr>
      <w:r w:rsidRPr="00ED7581">
        <w:rPr>
          <w:b/>
          <w:bCs/>
          <w:rtl/>
        </w:rPr>
        <w:t>דברים כ</w:t>
      </w:r>
      <w:r w:rsidRPr="00ED7581">
        <w:rPr>
          <w:rFonts w:hint="cs"/>
          <w:b/>
          <w:bCs/>
          <w:rtl/>
        </w:rPr>
        <w:t>"</w:t>
      </w:r>
      <w:r w:rsidRPr="00ED7581">
        <w:rPr>
          <w:b/>
          <w:bCs/>
          <w:rtl/>
        </w:rPr>
        <w:t>ג</w:t>
      </w:r>
      <w:r w:rsidRPr="00ED7581">
        <w:rPr>
          <w:rFonts w:hint="cs"/>
          <w:b/>
          <w:bCs/>
          <w:rtl/>
        </w:rPr>
        <w:t>:</w:t>
      </w:r>
      <w:r>
        <w:rPr>
          <w:rFonts w:hint="cs"/>
          <w:rtl/>
        </w:rPr>
        <w:t xml:space="preserve"> "</w:t>
      </w:r>
      <w:r>
        <w:rPr>
          <w:rtl/>
        </w:rPr>
        <w:t>(כ) לֹא תַשִּׁיךְ לְאָחִיךָ נֶשֶׁךְ כֶּסֶף נֶשֶׁךְ אֹכֶל נֶשֶׁךְ כָּל דָּבָר אֲשֶׁר יִשָּׁךְ: (כא) לַנָּכְרִי תַשִּׁיךְ וּלְאָחִיךָ לֹא תַשִּׁיךְ לְמַעַן יְבָרֶכְךָ ה' אֱלֹהֶיךָ בְּכֹל מִשְׁלַח יָדֶךָ עַל הָאָרֶץ אֲשֶׁר אַתָּה בָא שָׁמָּה לְרִשְׁתָּהּ</w:t>
      </w:r>
      <w:r>
        <w:rPr>
          <w:rFonts w:hint="cs"/>
          <w:rtl/>
        </w:rPr>
        <w:t>".</w:t>
      </w:r>
    </w:p>
    <w:p w14:paraId="3C79538E" w14:textId="7298C3D8" w:rsidR="00ED7581" w:rsidRDefault="00ED7581" w:rsidP="00ED7581">
      <w:pPr>
        <w:rPr>
          <w:rtl/>
        </w:rPr>
      </w:pPr>
      <w:r w:rsidRPr="00ED7581">
        <w:rPr>
          <w:b/>
          <w:bCs/>
          <w:rtl/>
        </w:rPr>
        <w:t xml:space="preserve">מדרש תנאים </w:t>
      </w:r>
      <w:r w:rsidRPr="00ED7581">
        <w:rPr>
          <w:rFonts w:hint="cs"/>
          <w:b/>
          <w:bCs/>
          <w:rtl/>
        </w:rPr>
        <w:t>שם:</w:t>
      </w:r>
      <w:r>
        <w:rPr>
          <w:rFonts w:hint="cs"/>
          <w:rtl/>
        </w:rPr>
        <w:t xml:space="preserve"> "</w:t>
      </w:r>
      <w:r>
        <w:rPr>
          <w:rtl/>
        </w:rPr>
        <w:t>לנכרי תשיך זו מצות עשה</w:t>
      </w:r>
      <w:r>
        <w:rPr>
          <w:rFonts w:hint="cs"/>
          <w:rtl/>
        </w:rPr>
        <w:t>".</w:t>
      </w:r>
    </w:p>
    <w:p w14:paraId="699E22B6" w14:textId="3E7BE953" w:rsidR="00ED7581" w:rsidRDefault="00ED7581" w:rsidP="00ED7581">
      <w:pPr>
        <w:rPr>
          <w:rtl/>
        </w:rPr>
      </w:pPr>
      <w:r w:rsidRPr="00ED7581">
        <w:rPr>
          <w:b/>
          <w:bCs/>
          <w:rtl/>
        </w:rPr>
        <w:t>בבא מציעא</w:t>
      </w:r>
      <w:r w:rsidRPr="00ED7581">
        <w:rPr>
          <w:rFonts w:hint="cs"/>
          <w:b/>
          <w:bCs/>
          <w:rtl/>
        </w:rPr>
        <w:t>,</w:t>
      </w:r>
      <w:r w:rsidRPr="00ED7581">
        <w:rPr>
          <w:b/>
          <w:bCs/>
          <w:rtl/>
        </w:rPr>
        <w:t xml:space="preserve"> דף ע</w:t>
      </w:r>
      <w:r w:rsidRPr="00ED7581">
        <w:rPr>
          <w:rFonts w:hint="cs"/>
          <w:b/>
          <w:bCs/>
          <w:rtl/>
        </w:rPr>
        <w:t>':</w:t>
      </w:r>
      <w:r>
        <w:rPr>
          <w:rFonts w:hint="cs"/>
          <w:rtl/>
        </w:rPr>
        <w:t xml:space="preserve"> "</w:t>
      </w:r>
      <w:r>
        <w:rPr>
          <w:rtl/>
        </w:rPr>
        <w:t>לנכרי תשיך, מאי תשיך - לאו תשוך? - לא, תשיך. - לא סגי דלאו הכי? - לאפוקי אחיך דלא. - אחיך בהדיא כתב ביה ולאחיך לא תשיך! - לעבור עליו בעשה ולא תעשה</w:t>
      </w:r>
      <w:r>
        <w:rPr>
          <w:rFonts w:hint="cs"/>
          <w:rtl/>
        </w:rPr>
        <w:t>"</w:t>
      </w:r>
      <w:r>
        <w:rPr>
          <w:rtl/>
        </w:rPr>
        <w:t>.</w:t>
      </w:r>
    </w:p>
    <w:p w14:paraId="65E44C4F" w14:textId="77777777" w:rsidR="00ED7581" w:rsidRDefault="00ED7581" w:rsidP="00ED7581">
      <w:pPr>
        <w:rPr>
          <w:rtl/>
        </w:rPr>
      </w:pPr>
      <w:r w:rsidRPr="00ED7581">
        <w:rPr>
          <w:b/>
          <w:bCs/>
          <w:rtl/>
        </w:rPr>
        <w:t xml:space="preserve">רמב"ם </w:t>
      </w:r>
      <w:r>
        <w:rPr>
          <w:rFonts w:hint="cs"/>
          <w:b/>
          <w:bCs/>
          <w:rtl/>
        </w:rPr>
        <w:t xml:space="preserve">וראב"ד </w:t>
      </w:r>
      <w:r w:rsidRPr="00ED7581">
        <w:rPr>
          <w:b/>
          <w:bCs/>
          <w:rtl/>
        </w:rPr>
        <w:t>מלוה ולוה</w:t>
      </w:r>
      <w:r w:rsidRPr="00ED7581">
        <w:rPr>
          <w:rFonts w:hint="cs"/>
          <w:b/>
          <w:bCs/>
          <w:rtl/>
        </w:rPr>
        <w:t>, ה' א':</w:t>
      </w:r>
      <w:r>
        <w:rPr>
          <w:rFonts w:hint="cs"/>
          <w:rtl/>
        </w:rPr>
        <w:t xml:space="preserve"> "</w:t>
      </w:r>
      <w:r>
        <w:rPr>
          <w:rtl/>
        </w:rPr>
        <w:t xml:space="preserve">ומצות עשה להשיך לעכו"ם שנאמר לנכרי תשיך מפי השמועה למדו שזו מצות עשה וזהו דין תורה. </w:t>
      </w:r>
    </w:p>
    <w:p w14:paraId="32B2F18A" w14:textId="613B51C6" w:rsidR="00ED7581" w:rsidRDefault="00ED7581" w:rsidP="00ED7581">
      <w:pPr>
        <w:rPr>
          <w:rtl/>
        </w:rPr>
      </w:pPr>
      <w:r>
        <w:rPr>
          <w:rtl/>
        </w:rPr>
        <w:t>/השגת הראב"ד/ ומצות עשה להשיך וכו' עד וזהו דין תורה. א"א אני לא מצאתי שמועה זו ואולי טעה במה שמצא בספרי (פרשת כי תצא) שנאמר שם לנכרי תשיך זו מצות עשה ופירושו משום דהוה ליה לאו הבא מכלל עשה שלא ישיך לישראל עכ"ל</w:t>
      </w:r>
      <w:r>
        <w:rPr>
          <w:rFonts w:hint="cs"/>
          <w:rtl/>
        </w:rPr>
        <w:t>"</w:t>
      </w:r>
      <w:r>
        <w:rPr>
          <w:rtl/>
        </w:rPr>
        <w:t>.</w:t>
      </w:r>
    </w:p>
    <w:p w14:paraId="335821F6" w14:textId="15ADC9A1" w:rsidR="00ED7581" w:rsidRDefault="00696EF5" w:rsidP="00696EF5">
      <w:pPr>
        <w:rPr>
          <w:rtl/>
        </w:rPr>
      </w:pPr>
      <w:r w:rsidRPr="00696EF5">
        <w:rPr>
          <w:b/>
          <w:bCs/>
          <w:rtl/>
        </w:rPr>
        <w:t>חידושי הרמב"ן בבא מציעא</w:t>
      </w:r>
      <w:r w:rsidRPr="00696EF5">
        <w:rPr>
          <w:rFonts w:hint="cs"/>
          <w:b/>
          <w:bCs/>
          <w:rtl/>
        </w:rPr>
        <w:t>, שם:</w:t>
      </w:r>
      <w:r>
        <w:rPr>
          <w:rFonts w:hint="cs"/>
          <w:rtl/>
        </w:rPr>
        <w:t xml:space="preserve"> "</w:t>
      </w:r>
      <w:r>
        <w:rPr>
          <w:rtl/>
        </w:rPr>
        <w:t>והכי תניא בספרי לנכרי תשיך הרי זה מצות עשה ולאחיך לא תשיך הרי זה מצות לא תעשה, פי' תשיך תשיך ממש ולאפוקי אחיך דלא ולאו הבא מכלל עשה עשה כדמפרש רב נחמן בשמעתין, ולא כדברי מי שאומר שמצוה מן התורה להלוות את הנכרי, וכן כתב רש"י ז"ל בפי' התורה, וכיוצא בה שם בסיפרי כל צפור טהורה תאכלו מצות עשה כל שרץ העוף טמא הוא מצות לא תעשה</w:t>
      </w:r>
      <w:r>
        <w:rPr>
          <w:rFonts w:hint="cs"/>
          <w:rtl/>
        </w:rPr>
        <w:t>"</w:t>
      </w:r>
      <w:r>
        <w:rPr>
          <w:rtl/>
        </w:rPr>
        <w:t>.</w:t>
      </w:r>
    </w:p>
    <w:p w14:paraId="471CE0C2" w14:textId="74988539" w:rsidR="00696EF5" w:rsidRDefault="00696EF5" w:rsidP="00696EF5">
      <w:pPr>
        <w:rPr>
          <w:rtl/>
        </w:rPr>
      </w:pPr>
      <w:r w:rsidRPr="00696EF5">
        <w:rPr>
          <w:rFonts w:hint="cs"/>
          <w:b/>
          <w:bCs/>
          <w:rtl/>
        </w:rPr>
        <w:t xml:space="preserve">משנה </w:t>
      </w:r>
      <w:r w:rsidRPr="00696EF5">
        <w:rPr>
          <w:b/>
          <w:bCs/>
          <w:rtl/>
        </w:rPr>
        <w:t>בבא מציעא</w:t>
      </w:r>
      <w:r w:rsidRPr="00696EF5">
        <w:rPr>
          <w:rFonts w:hint="cs"/>
          <w:b/>
          <w:bCs/>
          <w:rtl/>
        </w:rPr>
        <w:t>,</w:t>
      </w:r>
      <w:r w:rsidRPr="00696EF5">
        <w:rPr>
          <w:b/>
          <w:bCs/>
          <w:rtl/>
        </w:rPr>
        <w:t xml:space="preserve"> דף ע</w:t>
      </w:r>
      <w:r w:rsidRPr="00696EF5">
        <w:rPr>
          <w:rFonts w:hint="cs"/>
          <w:b/>
          <w:bCs/>
          <w:rtl/>
        </w:rPr>
        <w:t>':</w:t>
      </w:r>
      <w:r>
        <w:rPr>
          <w:rFonts w:hint="cs"/>
          <w:rtl/>
        </w:rPr>
        <w:t xml:space="preserve"> "</w:t>
      </w:r>
      <w:r>
        <w:rPr>
          <w:rtl/>
        </w:rPr>
        <w:t>אבל מקבלין צאן ברזל מן הנכרים, ולוין מהן ומלוין אותן ברבית, וכן בגר תושב</w:t>
      </w:r>
      <w:r>
        <w:rPr>
          <w:rFonts w:hint="cs"/>
          <w:rtl/>
        </w:rPr>
        <w:t>"</w:t>
      </w:r>
      <w:r>
        <w:rPr>
          <w:rtl/>
        </w:rPr>
        <w:t>.</w:t>
      </w:r>
    </w:p>
    <w:p w14:paraId="77947733" w14:textId="77777777" w:rsidR="00696EF5" w:rsidRDefault="00696EF5" w:rsidP="00696EF5">
      <w:pPr>
        <w:rPr>
          <w:rtl/>
        </w:rPr>
      </w:pPr>
    </w:p>
    <w:p w14:paraId="598A4D34" w14:textId="098882C1" w:rsidR="00ED7581" w:rsidRDefault="00ED7581" w:rsidP="00ED7581">
      <w:pPr>
        <w:rPr>
          <w:b/>
          <w:bCs/>
          <w:u w:val="single"/>
          <w:rtl/>
        </w:rPr>
      </w:pPr>
      <w:r>
        <w:rPr>
          <w:rFonts w:hint="cs"/>
          <w:b/>
          <w:bCs/>
          <w:u w:val="single"/>
          <w:rtl/>
        </w:rPr>
        <w:t>ב. גזירת חכמים</w:t>
      </w:r>
    </w:p>
    <w:p w14:paraId="3CB4D24E" w14:textId="77777777" w:rsidR="00696EF5" w:rsidRDefault="00696EF5" w:rsidP="00696EF5">
      <w:pPr>
        <w:rPr>
          <w:rtl/>
        </w:rPr>
      </w:pPr>
      <w:r w:rsidRPr="00696EF5">
        <w:rPr>
          <w:b/>
          <w:bCs/>
          <w:rtl/>
        </w:rPr>
        <w:t>בבא מציעא</w:t>
      </w:r>
      <w:r w:rsidRPr="00696EF5">
        <w:rPr>
          <w:rFonts w:hint="cs"/>
          <w:b/>
          <w:bCs/>
          <w:rtl/>
        </w:rPr>
        <w:t>,</w:t>
      </w:r>
      <w:r w:rsidRPr="00696EF5">
        <w:rPr>
          <w:b/>
          <w:bCs/>
          <w:rtl/>
        </w:rPr>
        <w:t xml:space="preserve"> דף ע</w:t>
      </w:r>
      <w:r w:rsidRPr="00696EF5">
        <w:rPr>
          <w:rFonts w:hint="cs"/>
          <w:b/>
          <w:bCs/>
          <w:rtl/>
        </w:rPr>
        <w:t>':</w:t>
      </w:r>
      <w:r>
        <w:rPr>
          <w:rFonts w:hint="cs"/>
          <w:rtl/>
        </w:rPr>
        <w:t xml:space="preserve"> "</w:t>
      </w:r>
      <w:r w:rsidRPr="00696EF5">
        <w:rPr>
          <w:rtl/>
        </w:rPr>
        <w:t>מרבה הונו בנשך ותרבית לחונן דלים יקבצנו</w:t>
      </w:r>
      <w:r>
        <w:rPr>
          <w:rFonts w:hint="cs"/>
          <w:rtl/>
        </w:rPr>
        <w:t xml:space="preserve"> ... </w:t>
      </w:r>
      <w:r w:rsidRPr="00696EF5">
        <w:rPr>
          <w:rtl/>
        </w:rPr>
        <w:t>אמר רב נחמן: אמר לי הונא: לא נצרכא, אלא דאפילו רבית דנכרי</w:t>
      </w:r>
      <w:r>
        <w:rPr>
          <w:rFonts w:hint="cs"/>
          <w:rtl/>
        </w:rPr>
        <w:t xml:space="preserve"> ... אלא בכדי חייו. </w:t>
      </w:r>
      <w:r>
        <w:rPr>
          <w:rtl/>
        </w:rPr>
        <w:t xml:space="preserve">רבינא אמר: הכא בתלמידי חכמים עסקינן. טעמא מאי גזור רבנן - שמא ילמוד ממעשיו, וכיון דתלמיד חכם הוא - לא ילמוד ממעשיו. </w:t>
      </w:r>
    </w:p>
    <w:p w14:paraId="550CDD2F" w14:textId="058A8598" w:rsidR="00ED7581" w:rsidRDefault="00696EF5" w:rsidP="00696EF5">
      <w:pPr>
        <w:rPr>
          <w:rtl/>
        </w:rPr>
      </w:pPr>
      <w:r>
        <w:rPr>
          <w:rtl/>
        </w:rPr>
        <w:t>איכא דמתני לה להא דרב הונא אהא</w:t>
      </w:r>
      <w:r>
        <w:rPr>
          <w:rFonts w:hint="cs"/>
          <w:rtl/>
        </w:rPr>
        <w:t>..."</w:t>
      </w:r>
    </w:p>
    <w:p w14:paraId="2E33BE82" w14:textId="2868E23C" w:rsidR="00696EF5" w:rsidRDefault="00696EF5" w:rsidP="000932A3">
      <w:pPr>
        <w:rPr>
          <w:rtl/>
        </w:rPr>
      </w:pPr>
      <w:r w:rsidRPr="000932A3">
        <w:rPr>
          <w:b/>
          <w:bCs/>
          <w:rtl/>
        </w:rPr>
        <w:t xml:space="preserve">תוספות </w:t>
      </w:r>
      <w:r w:rsidR="000932A3" w:rsidRPr="000932A3">
        <w:rPr>
          <w:rFonts w:hint="cs"/>
          <w:b/>
          <w:bCs/>
          <w:rtl/>
        </w:rPr>
        <w:t>שם:</w:t>
      </w:r>
      <w:r w:rsidR="000932A3">
        <w:rPr>
          <w:rFonts w:hint="cs"/>
          <w:rtl/>
        </w:rPr>
        <w:t xml:space="preserve"> "</w:t>
      </w:r>
      <w:r>
        <w:rPr>
          <w:rtl/>
        </w:rPr>
        <w:t>ומה שנהגו עתה להלוות לנכרים אור"ת משום דבשל סופרים הלך אחר המיקל</w:t>
      </w:r>
      <w:r w:rsidR="000932A3">
        <w:rPr>
          <w:rFonts w:hint="cs"/>
          <w:rtl/>
        </w:rPr>
        <w:t>,</w:t>
      </w:r>
      <w:r>
        <w:rPr>
          <w:rtl/>
        </w:rPr>
        <w:t xml:space="preserve"> וקי"ל כאידך לישנא דמתני הא דרב הונא אברייתא דרב יוסף ולא אסרו מעולם רב נחמן ורב הונא רבית דנכרי</w:t>
      </w:r>
      <w:r w:rsidR="000932A3">
        <w:rPr>
          <w:rFonts w:hint="cs"/>
          <w:rtl/>
        </w:rPr>
        <w:t>.</w:t>
      </w:r>
      <w:r>
        <w:rPr>
          <w:rtl/>
        </w:rPr>
        <w:t xml:space="preserve"> ואפי' ללישנא קמא יש להתיר לפי שיש עלינו מס מלך ושרים והכל הוי כדי חיינו</w:t>
      </w:r>
      <w:r w:rsidR="000932A3">
        <w:rPr>
          <w:rFonts w:hint="cs"/>
          <w:rtl/>
        </w:rPr>
        <w:t>,</w:t>
      </w:r>
      <w:r>
        <w:rPr>
          <w:rtl/>
        </w:rPr>
        <w:t xml:space="preserve"> ועוד שאנו שרויין בין האומות ואי אפשר לנו להשתכר בשום דבר אם לא נישא וניתן עמהם הלכך אין לאסור רבית שמא ילמוד ממעשיו יותר משאר משא ומתן</w:t>
      </w:r>
      <w:r w:rsidR="000932A3">
        <w:rPr>
          <w:rFonts w:hint="cs"/>
          <w:rtl/>
        </w:rPr>
        <w:t xml:space="preserve">". </w:t>
      </w:r>
    </w:p>
    <w:p w14:paraId="5ABBD8C2" w14:textId="12F07DFA" w:rsidR="000932A3" w:rsidRDefault="000932A3" w:rsidP="000932A3">
      <w:pPr>
        <w:rPr>
          <w:rtl/>
        </w:rPr>
      </w:pPr>
      <w:r w:rsidRPr="000932A3">
        <w:rPr>
          <w:b/>
          <w:bCs/>
          <w:rtl/>
        </w:rPr>
        <w:lastRenderedPageBreak/>
        <w:t>רמב"ם מלוה ולוה</w:t>
      </w:r>
      <w:r w:rsidRPr="000932A3">
        <w:rPr>
          <w:rFonts w:hint="cs"/>
          <w:b/>
          <w:bCs/>
          <w:rtl/>
        </w:rPr>
        <w:t>, ה' ב':</w:t>
      </w:r>
      <w:r>
        <w:rPr>
          <w:rFonts w:hint="cs"/>
          <w:rtl/>
        </w:rPr>
        <w:t xml:space="preserve"> "</w:t>
      </w:r>
      <w:r>
        <w:rPr>
          <w:rtl/>
        </w:rPr>
        <w:t>אסרו חכמים שיהיה ישראל מלוה את העכו"ם ברבית קצוצה אלא בכדי חייו גזרו שמא ילמוד ממעשיו ברוב ישיבתו עמו, לפיכך מותר ללוות מן העכו"ם ברבית שהרי הוא בורח מלפניו ואינו רגיל אצלו, ותלמיד חכם שאינו רגיל בו ללמוד ממעשיו מותר להלוות לעכו"ם ברבית אפילו להרויח, וכל אבק רבית עם העכו"ם מותרת לכל</w:t>
      </w:r>
      <w:r>
        <w:rPr>
          <w:rFonts w:hint="cs"/>
          <w:rtl/>
        </w:rPr>
        <w:t>"</w:t>
      </w:r>
      <w:r>
        <w:rPr>
          <w:rtl/>
        </w:rPr>
        <w:t>.</w:t>
      </w:r>
    </w:p>
    <w:p w14:paraId="2F1D886F" w14:textId="3C18E791" w:rsidR="000932A3" w:rsidRDefault="000932A3" w:rsidP="000932A3">
      <w:pPr>
        <w:rPr>
          <w:rtl/>
        </w:rPr>
      </w:pPr>
      <w:r w:rsidRPr="000932A3">
        <w:rPr>
          <w:b/>
          <w:bCs/>
          <w:rtl/>
        </w:rPr>
        <w:t>שולחן ערוך יורה דעה</w:t>
      </w:r>
      <w:r w:rsidRPr="000932A3">
        <w:rPr>
          <w:rFonts w:hint="cs"/>
          <w:b/>
          <w:bCs/>
          <w:rtl/>
        </w:rPr>
        <w:t>, קנ"ט א':</w:t>
      </w:r>
      <w:r>
        <w:rPr>
          <w:rFonts w:hint="cs"/>
          <w:rtl/>
        </w:rPr>
        <w:t xml:space="preserve"> "</w:t>
      </w:r>
      <w:r>
        <w:rPr>
          <w:rtl/>
        </w:rPr>
        <w:t>דבר תורה, מותר להלוות לעובד כוכבים בריבית. וחכמים אסרוהו, אם לא כדי חייו, או לת"ח, או בריבית דרבנן. והאידנא, מותר (בכל ענין)</w:t>
      </w:r>
      <w:r>
        <w:rPr>
          <w:rFonts w:hint="cs"/>
          <w:rtl/>
        </w:rPr>
        <w:t>"</w:t>
      </w:r>
      <w:r>
        <w:rPr>
          <w:rtl/>
        </w:rPr>
        <w:t>.</w:t>
      </w:r>
    </w:p>
    <w:p w14:paraId="227874BA" w14:textId="5B611CFD" w:rsidR="000932A3" w:rsidRDefault="000932A3" w:rsidP="000932A3">
      <w:pPr>
        <w:rPr>
          <w:rtl/>
        </w:rPr>
      </w:pPr>
      <w:r w:rsidRPr="000932A3">
        <w:rPr>
          <w:b/>
          <w:bCs/>
          <w:rtl/>
        </w:rPr>
        <w:t>ש"ך</w:t>
      </w:r>
      <w:r w:rsidRPr="000932A3">
        <w:rPr>
          <w:rFonts w:hint="cs"/>
          <w:b/>
          <w:bCs/>
          <w:rtl/>
        </w:rPr>
        <w:t xml:space="preserve"> שם:</w:t>
      </w:r>
      <w:r>
        <w:rPr>
          <w:rFonts w:hint="cs"/>
          <w:rtl/>
        </w:rPr>
        <w:t xml:space="preserve"> "</w:t>
      </w:r>
      <w:r>
        <w:rPr>
          <w:rtl/>
        </w:rPr>
        <w:t>והאידנא מותר. לכל אדם בכל מיני רבית משום שאי אפשר לנו להשתכר בשום משא ומתן אם לא שנשא ונתן עמהם</w:t>
      </w:r>
      <w:r>
        <w:rPr>
          <w:rFonts w:hint="cs"/>
          <w:rtl/>
        </w:rPr>
        <w:t>".</w:t>
      </w:r>
    </w:p>
    <w:p w14:paraId="37A203C2" w14:textId="2AE06B7B" w:rsidR="000932A3" w:rsidRDefault="000932A3" w:rsidP="000932A3">
      <w:pPr>
        <w:rPr>
          <w:rtl/>
        </w:rPr>
      </w:pPr>
      <w:r w:rsidRPr="000932A3">
        <w:rPr>
          <w:b/>
          <w:bCs/>
          <w:rtl/>
        </w:rPr>
        <w:t xml:space="preserve">דרכי תשובה </w:t>
      </w:r>
      <w:r w:rsidRPr="000932A3">
        <w:rPr>
          <w:rFonts w:hint="cs"/>
          <w:b/>
          <w:bCs/>
          <w:rtl/>
        </w:rPr>
        <w:t>שם, ס"ק ז':</w:t>
      </w:r>
      <w:r>
        <w:rPr>
          <w:rFonts w:hint="cs"/>
          <w:rtl/>
        </w:rPr>
        <w:t xml:space="preserve"> "</w:t>
      </w:r>
      <w:r>
        <w:rPr>
          <w:rtl/>
        </w:rPr>
        <w:t>ועי' בס' שער משפט סי' צ"ז שעמד על המחקר אם עומד לפניו ישראל ללות לו בחנם ולעכו"ם ברבית למי יקדים וכ' דדוקא בדבר מועט הישראל קודם אבל אם היה רבית מרובה אין סברא להקדים ישראל בחנם בזה עיין שם והנה לא ביאר כמה היא שיעור רבית מרובה</w:t>
      </w:r>
      <w:r>
        <w:rPr>
          <w:rFonts w:hint="cs"/>
          <w:rtl/>
        </w:rPr>
        <w:t>".</w:t>
      </w:r>
    </w:p>
    <w:p w14:paraId="67501034" w14:textId="77777777" w:rsidR="00696EF5" w:rsidRPr="00696EF5" w:rsidRDefault="00696EF5" w:rsidP="00696EF5">
      <w:pPr>
        <w:rPr>
          <w:rtl/>
        </w:rPr>
      </w:pPr>
    </w:p>
    <w:p w14:paraId="749F6AEC" w14:textId="6055E42A" w:rsidR="00ED7581" w:rsidRDefault="00ED7581" w:rsidP="000932A3">
      <w:pPr>
        <w:rPr>
          <w:b/>
          <w:bCs/>
          <w:u w:val="single"/>
          <w:rtl/>
        </w:rPr>
      </w:pPr>
      <w:r>
        <w:rPr>
          <w:rFonts w:hint="cs"/>
          <w:b/>
          <w:bCs/>
          <w:u w:val="single"/>
          <w:rtl/>
        </w:rPr>
        <w:t xml:space="preserve">ג. </w:t>
      </w:r>
      <w:r w:rsidR="0091253E">
        <w:rPr>
          <w:rFonts w:hint="cs"/>
          <w:b/>
          <w:bCs/>
          <w:u w:val="single"/>
          <w:rtl/>
        </w:rPr>
        <w:t>הולך תמים ופועל צדק</w:t>
      </w:r>
    </w:p>
    <w:p w14:paraId="55B932C6" w14:textId="04CA2897" w:rsidR="001D3F19" w:rsidRDefault="000932A3" w:rsidP="001D3F19">
      <w:pPr>
        <w:rPr>
          <w:rtl/>
        </w:rPr>
      </w:pPr>
      <w:r w:rsidRPr="001D3F19">
        <w:rPr>
          <w:b/>
          <w:bCs/>
          <w:rtl/>
        </w:rPr>
        <w:t>מכות</w:t>
      </w:r>
      <w:r w:rsidR="001D3F19" w:rsidRPr="001D3F19">
        <w:rPr>
          <w:rFonts w:hint="cs"/>
          <w:b/>
          <w:bCs/>
          <w:rtl/>
        </w:rPr>
        <w:t>,</w:t>
      </w:r>
      <w:r w:rsidRPr="001D3F19">
        <w:rPr>
          <w:b/>
          <w:bCs/>
          <w:rtl/>
        </w:rPr>
        <w:t xml:space="preserve"> דף כ</w:t>
      </w:r>
      <w:r w:rsidR="001D3F19" w:rsidRPr="001D3F19">
        <w:rPr>
          <w:rFonts w:hint="cs"/>
          <w:b/>
          <w:bCs/>
          <w:rtl/>
        </w:rPr>
        <w:t>"</w:t>
      </w:r>
      <w:r w:rsidRPr="001D3F19">
        <w:rPr>
          <w:b/>
          <w:bCs/>
          <w:rtl/>
        </w:rPr>
        <w:t>ד</w:t>
      </w:r>
      <w:r w:rsidR="001D3F19">
        <w:rPr>
          <w:rFonts w:hint="cs"/>
          <w:b/>
          <w:bCs/>
          <w:rtl/>
        </w:rPr>
        <w:t xml:space="preserve"> (מצויין בגליון הש"ס בסוגייתינו)</w:t>
      </w:r>
      <w:r w:rsidR="001D3F19" w:rsidRPr="001D3F19">
        <w:rPr>
          <w:rFonts w:hint="cs"/>
          <w:b/>
          <w:bCs/>
          <w:rtl/>
        </w:rPr>
        <w:t>:</w:t>
      </w:r>
      <w:r w:rsidR="001D3F19">
        <w:rPr>
          <w:rFonts w:hint="cs"/>
          <w:rtl/>
        </w:rPr>
        <w:t xml:space="preserve"> "</w:t>
      </w:r>
      <w:r>
        <w:rPr>
          <w:rtl/>
        </w:rPr>
        <w:t>בא דוד והעמידן על אחת עשרה, דכתיב: מזמור לדוד [ה'] מי יגור באהלך מי ישכון בהר קדשך, הולך תמים ופועל צדק ודובר אמת בלבבו, לא רגל על לשונו לא עשה לרעהו רעה וחרפה לא נשא על קרובו, נבזה בעיניו נמאס ואת יראי ה' יכבד נשבע להרע ולא ימיר, כספו לא נתן בנשך ושוחד על נקי לא לקח עושה אלה לא ימוט לעולם</w:t>
      </w:r>
      <w:r w:rsidR="001D3F19">
        <w:rPr>
          <w:rFonts w:hint="cs"/>
          <w:rtl/>
        </w:rPr>
        <w:t xml:space="preserve"> ... </w:t>
      </w:r>
      <w:r>
        <w:rPr>
          <w:rtl/>
        </w:rPr>
        <w:t>כספו לא נתן בנשך - אפילו ברבית עובד כוכבים</w:t>
      </w:r>
      <w:r w:rsidR="001D3F19">
        <w:rPr>
          <w:rFonts w:hint="cs"/>
          <w:rtl/>
        </w:rPr>
        <w:t>"</w:t>
      </w:r>
      <w:r>
        <w:rPr>
          <w:rtl/>
        </w:rPr>
        <w:t>.</w:t>
      </w:r>
    </w:p>
    <w:p w14:paraId="5A83E1E0" w14:textId="772A5916" w:rsidR="001D3F19" w:rsidRDefault="001D3F19" w:rsidP="001D3F19">
      <w:pPr>
        <w:rPr>
          <w:rtl/>
        </w:rPr>
      </w:pPr>
      <w:r w:rsidRPr="001D3F19">
        <w:rPr>
          <w:b/>
          <w:bCs/>
          <w:rtl/>
        </w:rPr>
        <w:t>רש"י</w:t>
      </w:r>
      <w:r w:rsidRPr="001D3F19">
        <w:rPr>
          <w:rFonts w:hint="cs"/>
          <w:b/>
          <w:bCs/>
          <w:rtl/>
        </w:rPr>
        <w:t xml:space="preserve"> שם:</w:t>
      </w:r>
      <w:r>
        <w:rPr>
          <w:rFonts w:hint="cs"/>
          <w:rtl/>
        </w:rPr>
        <w:t xml:space="preserve"> "</w:t>
      </w:r>
      <w:r>
        <w:rPr>
          <w:rtl/>
        </w:rPr>
        <w:t>ואפילו לעובד כוכבים - כדי שלא ימשוך ויבוא להלוות לישראל ברבית</w:t>
      </w:r>
      <w:r>
        <w:rPr>
          <w:rFonts w:hint="cs"/>
          <w:rtl/>
        </w:rPr>
        <w:t>"</w:t>
      </w:r>
      <w:r>
        <w:rPr>
          <w:rtl/>
        </w:rPr>
        <w:t>.</w:t>
      </w:r>
    </w:p>
    <w:p w14:paraId="2EA899DA" w14:textId="7E135369" w:rsidR="001D3F19" w:rsidRDefault="001D3F19" w:rsidP="001D3F19">
      <w:pPr>
        <w:rPr>
          <w:rtl/>
        </w:rPr>
      </w:pPr>
      <w:r w:rsidRPr="001D3F19">
        <w:rPr>
          <w:b/>
          <w:bCs/>
          <w:rtl/>
        </w:rPr>
        <w:t xml:space="preserve">מאירי </w:t>
      </w:r>
      <w:r w:rsidRPr="001D3F19">
        <w:rPr>
          <w:rFonts w:hint="cs"/>
          <w:b/>
          <w:bCs/>
          <w:rtl/>
        </w:rPr>
        <w:t>שם:</w:t>
      </w:r>
      <w:r>
        <w:rPr>
          <w:rFonts w:hint="cs"/>
          <w:rtl/>
        </w:rPr>
        <w:t xml:space="preserve"> "</w:t>
      </w:r>
      <w:r>
        <w:rPr>
          <w:rtl/>
        </w:rPr>
        <w:t>אף על פי שרבית של גוי מותרת כמו שביארנו במקומו מ"מ מי שנשקע בהתיר לעצמו רבית של ישראל כשיתעורר לשוב בתשובה שלמה צריך להרחיקו בקצה האחרון ולימנע מכל ריבית אפילו מן המותר לו דרך רפואת הנפש והוא שאמרו מי יגור באהלך וכו' ונאמר בו כספו לא נתן בנשך ודרשו בו אפילו רבית דגוי וכבר ביארנו בחבור התשובה שזה המזמור כלו בנוי על בעל התשובה ובעניני ההנהגות שהוא ראוי לאחוז בהן הכל כמו שבארנו שם</w:t>
      </w:r>
      <w:r>
        <w:rPr>
          <w:rFonts w:hint="cs"/>
          <w:rtl/>
        </w:rPr>
        <w:t>".</w:t>
      </w:r>
    </w:p>
    <w:p w14:paraId="4673CEAB" w14:textId="06A48230" w:rsidR="001D3F19" w:rsidRDefault="00A807C7" w:rsidP="00A807C7">
      <w:pPr>
        <w:rPr>
          <w:rtl/>
        </w:rPr>
      </w:pPr>
      <w:r w:rsidRPr="00A807C7">
        <w:rPr>
          <w:b/>
          <w:bCs/>
          <w:rtl/>
        </w:rPr>
        <w:t>בעל שם טוב</w:t>
      </w:r>
      <w:r w:rsidRPr="00A807C7">
        <w:rPr>
          <w:rFonts w:hint="cs"/>
          <w:b/>
          <w:bCs/>
          <w:rtl/>
        </w:rPr>
        <w:t>, פרשת משפטים:</w:t>
      </w:r>
      <w:r>
        <w:rPr>
          <w:rFonts w:hint="cs"/>
          <w:rtl/>
        </w:rPr>
        <w:t xml:space="preserve"> "</w:t>
      </w:r>
      <w:r>
        <w:rPr>
          <w:rtl/>
        </w:rPr>
        <w:t>מדבר שקר תרחק. שמעתי ממורי, מי שרגיל לדבר שקר, אז תשובתו שלא לדבר שקר גם לעשות שלום, כמו לוקחי רבית, גם מגוי לא יקבל, ודברי פי חכם חן</w:t>
      </w:r>
      <w:r>
        <w:rPr>
          <w:rFonts w:hint="cs"/>
          <w:rtl/>
        </w:rPr>
        <w:t>".</w:t>
      </w:r>
    </w:p>
    <w:p w14:paraId="70232CB3" w14:textId="07E02973" w:rsidR="004920D0" w:rsidRPr="001250C8" w:rsidRDefault="004920D0" w:rsidP="004920D0">
      <w:r w:rsidRPr="004920D0">
        <w:rPr>
          <w:b/>
          <w:bCs/>
          <w:rtl/>
        </w:rPr>
        <w:t>חכמת אדם</w:t>
      </w:r>
      <w:r w:rsidRPr="004920D0">
        <w:rPr>
          <w:rFonts w:hint="cs"/>
          <w:b/>
          <w:bCs/>
          <w:rtl/>
        </w:rPr>
        <w:t>, ק"ל ו':</w:t>
      </w:r>
      <w:r>
        <w:rPr>
          <w:rFonts w:hint="cs"/>
          <w:rtl/>
        </w:rPr>
        <w:t xml:space="preserve"> "</w:t>
      </w:r>
      <w:r>
        <w:rPr>
          <w:rtl/>
        </w:rPr>
        <w:t>מן התורה מותר להלוות לעכו"ם בריבית וללוות מהן כדכתיב (דברים כ"ג, כ"א) לנכרי תשיך. ובזמן התנאים אסרו חכמים כדי שלא ללמוד ממעשיהם ולא התירו אלא כדי חייו ואמנם בזמן הזה התירו לגמרי שבלאו הכי כל מחיתנו ופרנסתנו מהם ולכן מותר לגמרי (סימן קנ"ט סעיף א'). אבל ראוי לכל איש ישר הולך באם אפשר לו שימנע גם מהלואת עכו"ם וישליך על ה' יהבו</w:t>
      </w:r>
      <w:r>
        <w:rPr>
          <w:rFonts w:hint="cs"/>
          <w:rtl/>
        </w:rPr>
        <w:t>"</w:t>
      </w:r>
      <w:r>
        <w:rPr>
          <w:rtl/>
        </w:rPr>
        <w:t>.</w:t>
      </w:r>
    </w:p>
    <w:p w14:paraId="6F409377" w14:textId="2153B15E" w:rsidR="00C66FD7" w:rsidRPr="001D3F19" w:rsidRDefault="00C66FD7" w:rsidP="006A29B5"/>
    <w:sectPr w:rsidR="00C66FD7" w:rsidRPr="001D3F19"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B1698" w14:textId="77777777" w:rsidR="00870478" w:rsidRDefault="00870478" w:rsidP="001250C8">
      <w:pPr>
        <w:spacing w:line="240" w:lineRule="auto"/>
      </w:pPr>
      <w:r>
        <w:separator/>
      </w:r>
    </w:p>
  </w:endnote>
  <w:endnote w:type="continuationSeparator" w:id="0">
    <w:p w14:paraId="62302E5B" w14:textId="77777777" w:rsidR="00870478" w:rsidRDefault="00870478"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C4EF9" w14:textId="77777777" w:rsidR="00870478" w:rsidRDefault="00870478" w:rsidP="001250C8">
      <w:pPr>
        <w:spacing w:line="240" w:lineRule="auto"/>
      </w:pPr>
      <w:r>
        <w:separator/>
      </w:r>
    </w:p>
  </w:footnote>
  <w:footnote w:type="continuationSeparator" w:id="0">
    <w:p w14:paraId="2450B96C" w14:textId="77777777" w:rsidR="00870478" w:rsidRDefault="00870478" w:rsidP="001250C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D7"/>
    <w:rsid w:val="000932A3"/>
    <w:rsid w:val="001250C8"/>
    <w:rsid w:val="001D3F19"/>
    <w:rsid w:val="001F2B75"/>
    <w:rsid w:val="002C06F1"/>
    <w:rsid w:val="002E1DB7"/>
    <w:rsid w:val="004920D0"/>
    <w:rsid w:val="00656813"/>
    <w:rsid w:val="00696EF5"/>
    <w:rsid w:val="006A29B5"/>
    <w:rsid w:val="00870478"/>
    <w:rsid w:val="008A0A58"/>
    <w:rsid w:val="0091253E"/>
    <w:rsid w:val="00A13A6B"/>
    <w:rsid w:val="00A807C7"/>
    <w:rsid w:val="00B45A22"/>
    <w:rsid w:val="00C66FD7"/>
    <w:rsid w:val="00E93D7D"/>
    <w:rsid w:val="00ED7581"/>
    <w:rsid w:val="00F364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E7AF"/>
  <w15:chartTrackingRefBased/>
  <w15:docId w15:val="{29AC78C8-3CF4-48D8-8C14-19728EF9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NormalWeb">
    <w:name w:val="Normal (Web)"/>
    <w:basedOn w:val="a"/>
    <w:uiPriority w:val="99"/>
    <w:semiHidden/>
    <w:unhideWhenUsed/>
    <w:rsid w:val="00ED7581"/>
    <w:pPr>
      <w:bidi w:val="0"/>
      <w:spacing w:before="100" w:beforeAutospacing="1" w:after="100" w:afterAutospacing="1" w:line="240" w:lineRule="auto"/>
      <w:jc w:val="left"/>
    </w:pPr>
    <w:rPr>
      <w:rFonts w:ascii="Times New Roman" w:eastAsia="Times New Roman" w:hAnsi="Times New Roman" w:cs="Times New Roman"/>
      <w:sz w:val="24"/>
    </w:rPr>
  </w:style>
  <w:style w:type="character" w:styleId="Hyperlink">
    <w:name w:val="Hyperlink"/>
    <w:basedOn w:val="a0"/>
    <w:uiPriority w:val="99"/>
    <w:semiHidden/>
    <w:unhideWhenUsed/>
    <w:rsid w:val="00ED7581"/>
    <w:rPr>
      <w:color w:val="0000FF"/>
      <w:u w:val="single"/>
    </w:rPr>
  </w:style>
  <w:style w:type="character" w:customStyle="1" w:styleId="source-needed-all">
    <w:name w:val="source-needed-all"/>
    <w:basedOn w:val="a0"/>
    <w:rsid w:val="00ED7581"/>
  </w:style>
  <w:style w:type="character" w:customStyle="1" w:styleId="clarification-needed">
    <w:name w:val="clarification-needed"/>
    <w:basedOn w:val="a0"/>
    <w:rsid w:val="00ED7581"/>
  </w:style>
  <w:style w:type="paragraph" w:styleId="a8">
    <w:name w:val="List Paragraph"/>
    <w:basedOn w:val="a"/>
    <w:uiPriority w:val="34"/>
    <w:qFormat/>
    <w:rsid w:val="00ED7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8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wikipedia.org/wiki/%D7%99%D7%94%D7%95%D7%93%D7%99%D7%9D" TargetMode="External"/><Relationship Id="rId13" Type="http://schemas.openxmlformats.org/officeDocument/2006/relationships/hyperlink" Target="https://he.wikipedia.org/wiki/%D7%92%D7%99%D7%9C%D7%93%D7%9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he.wikipedia.org/wiki/%D7%94%D7%9E%D7%90%D7%94_%D7%94-19" TargetMode="External"/><Relationship Id="rId12" Type="http://schemas.openxmlformats.org/officeDocument/2006/relationships/hyperlink" Target="https://he.wikipedia.org/wiki/%D7%94%D7%9E%D7%90%D7%94_%D7%94-1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he.wikipedia.org/wiki/%D7%A1%D7%98%D7%A8%D7%99%D7%90%D7%95%D7%98%D7%99%D7%A4" TargetMode="External"/><Relationship Id="rId1" Type="http://schemas.openxmlformats.org/officeDocument/2006/relationships/styles" Target="styles.xml"/><Relationship Id="rId6" Type="http://schemas.openxmlformats.org/officeDocument/2006/relationships/hyperlink" Target="https://he.wikipedia.org/wiki/%D7%99%D7%9E%D7%99_%D7%94%D7%91%D7%99%D7%A0%D7%99%D7%99%D7%9D" TargetMode="External"/><Relationship Id="rId11" Type="http://schemas.openxmlformats.org/officeDocument/2006/relationships/hyperlink" Target="https://he.wikipedia.org/wiki/%D7%90%D7%99%D7%A8%D7%95%D7%A4%D7%94" TargetMode="External"/><Relationship Id="rId5" Type="http://schemas.openxmlformats.org/officeDocument/2006/relationships/endnotes" Target="endnotes.xml"/><Relationship Id="rId15" Type="http://schemas.openxmlformats.org/officeDocument/2006/relationships/hyperlink" Target="https://he.wikipedia.org/wiki/%D7%92%D7%A8%D7%9E%D7%A0%D7%99%D7%9D" TargetMode="External"/><Relationship Id="rId10" Type="http://schemas.openxmlformats.org/officeDocument/2006/relationships/hyperlink" Target="https://he.wikipedia.org/wiki/%D7%A0%D7%95%D7%A6%D7%A8%D7%99%D7%9D" TargetMode="External"/><Relationship Id="rId4" Type="http://schemas.openxmlformats.org/officeDocument/2006/relationships/footnotes" Target="footnotes.xml"/><Relationship Id="rId9" Type="http://schemas.openxmlformats.org/officeDocument/2006/relationships/hyperlink" Target="https://he.wikipedia.org/wiki/%D7%9B%D7%A0%D7%A1%D7%99%D7%99%D7%94" TargetMode="External"/><Relationship Id="rId14" Type="http://schemas.openxmlformats.org/officeDocument/2006/relationships/hyperlink" Target="https://he.wikipedia.org/wiki/%D7%90%D7%A6%D7%95%D7%9C%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57</TotalTime>
  <Pages>2</Pages>
  <Words>1074</Words>
  <Characters>5374</Characters>
  <Application>Microsoft Office Word</Application>
  <DocSecurity>0</DocSecurity>
  <Lines>44</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הרב אודי שוורץ</dc:creator>
  <cp:keywords/>
  <dc:description/>
  <cp:lastModifiedBy>הרב אודי שוורץ</cp:lastModifiedBy>
  <cp:revision>9</cp:revision>
  <dcterms:created xsi:type="dcterms:W3CDTF">2024-05-09T15:40:00Z</dcterms:created>
  <dcterms:modified xsi:type="dcterms:W3CDTF">2024-05-09T18:23:00Z</dcterms:modified>
</cp:coreProperties>
</file>