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3B3C37" w:rsidRDefault="00B45A22" w:rsidP="006A29B5">
      <w:pPr>
        <w:rPr>
          <w:rFonts w:ascii="FrankRuehl" w:hAnsi="FrankRuehl" w:cs="FrankRuehl"/>
          <w:sz w:val="20"/>
          <w:szCs w:val="22"/>
          <w:rtl/>
        </w:rPr>
      </w:pPr>
      <w:r w:rsidRPr="00F3316F">
        <w:rPr>
          <w:rFonts w:hint="cs"/>
          <w:sz w:val="20"/>
          <w:szCs w:val="22"/>
          <w:rtl/>
        </w:rPr>
        <w:t>בס"ד</w:t>
      </w:r>
      <w:r w:rsidR="00F3316F" w:rsidRPr="00F3316F">
        <w:rPr>
          <w:rFonts w:hint="cs"/>
          <w:sz w:val="20"/>
          <w:szCs w:val="22"/>
          <w:rtl/>
        </w:rPr>
        <w:t xml:space="preserve">, </w:t>
      </w:r>
      <w:r w:rsidR="003B3C37">
        <w:rPr>
          <w:rFonts w:hint="cs"/>
          <w:sz w:val="20"/>
          <w:szCs w:val="22"/>
          <w:rtl/>
        </w:rPr>
        <w:t>ד' ב</w:t>
      </w:r>
      <w:r w:rsidR="00F3316F" w:rsidRPr="00F3316F">
        <w:rPr>
          <w:rFonts w:hint="cs"/>
          <w:sz w:val="20"/>
          <w:szCs w:val="22"/>
          <w:rtl/>
        </w:rPr>
        <w:t>כסלו תשפ"ו</w:t>
      </w:r>
      <w:r w:rsidR="003B3C37">
        <w:rPr>
          <w:sz w:val="20"/>
          <w:szCs w:val="22"/>
          <w:rtl/>
        </w:rPr>
        <w:tab/>
      </w:r>
      <w:r w:rsidR="003B3C37">
        <w:rPr>
          <w:sz w:val="20"/>
          <w:szCs w:val="22"/>
          <w:rtl/>
        </w:rPr>
        <w:tab/>
      </w:r>
      <w:r w:rsidR="003B3C37">
        <w:rPr>
          <w:sz w:val="20"/>
          <w:szCs w:val="22"/>
          <w:rtl/>
        </w:rPr>
        <w:tab/>
      </w:r>
      <w:r w:rsidR="003B3C37">
        <w:rPr>
          <w:sz w:val="20"/>
          <w:szCs w:val="22"/>
          <w:rtl/>
        </w:rPr>
        <w:tab/>
      </w:r>
      <w:r w:rsidR="003B3C37">
        <w:rPr>
          <w:sz w:val="20"/>
          <w:szCs w:val="22"/>
          <w:rtl/>
        </w:rPr>
        <w:tab/>
      </w:r>
      <w:r w:rsidR="003B3C37">
        <w:rPr>
          <w:sz w:val="20"/>
          <w:szCs w:val="22"/>
          <w:rtl/>
        </w:rPr>
        <w:tab/>
      </w:r>
      <w:r w:rsidR="003B3C37">
        <w:rPr>
          <w:sz w:val="20"/>
          <w:szCs w:val="22"/>
          <w:rtl/>
        </w:rPr>
        <w:tab/>
      </w:r>
      <w:r w:rsidR="003B3C37">
        <w:rPr>
          <w:rFonts w:ascii="FrankRuehl" w:hAnsi="FrankRuehl" w:cs="FrankRuehl"/>
          <w:b/>
          <w:bCs/>
          <w:sz w:val="20"/>
          <w:szCs w:val="22"/>
          <w:rtl/>
        </w:rPr>
        <w:tab/>
      </w:r>
      <w:r w:rsidR="003B3C37" w:rsidRPr="003B3C37">
        <w:rPr>
          <w:rFonts w:ascii="FrankRuehl" w:hAnsi="FrankRuehl" w:cs="FrankRuehl"/>
          <w:b/>
          <w:bCs/>
          <w:sz w:val="20"/>
          <w:szCs w:val="22"/>
          <w:rtl/>
        </w:rPr>
        <w:t>לעילוי נשמת אברהם יוסף בן אריה יהודה ז"ל</w:t>
      </w:r>
    </w:p>
    <w:p w:rsidR="00145AE6" w:rsidRPr="00F3316F" w:rsidRDefault="00145AE6" w:rsidP="00145AE6">
      <w:pPr>
        <w:pStyle w:val="a3"/>
        <w:rPr>
          <w:sz w:val="22"/>
          <w:szCs w:val="26"/>
          <w:rtl/>
        </w:rPr>
      </w:pPr>
      <w:r w:rsidRPr="00F3316F">
        <w:rPr>
          <w:rFonts w:hint="cs"/>
          <w:sz w:val="22"/>
          <w:szCs w:val="26"/>
          <w:rtl/>
        </w:rPr>
        <w:t>זבחים דף ע"ב, "דבר שבמניין" שאינו בטל</w:t>
      </w:r>
    </w:p>
    <w:p w:rsidR="00340A47" w:rsidRPr="00CC249E" w:rsidRDefault="00340A47" w:rsidP="003B5377">
      <w:pPr>
        <w:rPr>
          <w:b/>
          <w:bCs/>
          <w:u w:val="single"/>
        </w:rPr>
      </w:pPr>
      <w:r w:rsidRPr="00CC249E">
        <w:rPr>
          <w:rFonts w:hint="cs"/>
          <w:b/>
          <w:bCs/>
          <w:u w:val="single"/>
          <w:rtl/>
        </w:rPr>
        <w:t xml:space="preserve">א. פסיקת ההלכה </w:t>
      </w:r>
    </w:p>
    <w:p w:rsidR="007A673A" w:rsidRPr="00CC249E" w:rsidRDefault="007A673A" w:rsidP="00F3316F">
      <w:pPr>
        <w:pStyle w:val="a8"/>
        <w:numPr>
          <w:ilvl w:val="0"/>
          <w:numId w:val="1"/>
        </w:numPr>
      </w:pPr>
      <w:r w:rsidRPr="00CC249E">
        <w:rPr>
          <w:b/>
          <w:bCs/>
          <w:rtl/>
        </w:rPr>
        <w:t>זבחים</w:t>
      </w:r>
      <w:r w:rsidRPr="00CC249E">
        <w:rPr>
          <w:rFonts w:hint="cs"/>
          <w:b/>
          <w:bCs/>
          <w:rtl/>
        </w:rPr>
        <w:t>,</w:t>
      </w:r>
      <w:r w:rsidRPr="00CC249E">
        <w:rPr>
          <w:b/>
          <w:bCs/>
          <w:rtl/>
        </w:rPr>
        <w:t xml:space="preserve"> דף ע</w:t>
      </w:r>
      <w:r w:rsidRPr="00CC249E">
        <w:rPr>
          <w:rFonts w:hint="cs"/>
          <w:b/>
          <w:bCs/>
          <w:rtl/>
        </w:rPr>
        <w:t>"</w:t>
      </w:r>
      <w:r w:rsidRPr="00CC249E">
        <w:rPr>
          <w:b/>
          <w:bCs/>
          <w:rtl/>
        </w:rPr>
        <w:t>ג</w:t>
      </w:r>
      <w:r w:rsidRPr="00CC249E">
        <w:rPr>
          <w:rFonts w:hint="cs"/>
          <w:b/>
          <w:bCs/>
          <w:rtl/>
        </w:rPr>
        <w:t>:</w:t>
      </w:r>
      <w:r w:rsidRPr="00CC249E">
        <w:rPr>
          <w:rFonts w:hint="cs"/>
          <w:rtl/>
        </w:rPr>
        <w:t xml:space="preserve"> "</w:t>
      </w:r>
      <w:r w:rsidRPr="00CC249E">
        <w:rPr>
          <w:rtl/>
        </w:rPr>
        <w:t>כל דבר שיש בו מנין אפילו בדרבנן לא בטיל, וכל שכן בדאורייתא</w:t>
      </w:r>
      <w:r w:rsidRPr="00CC249E">
        <w:rPr>
          <w:rFonts w:hint="cs"/>
          <w:rtl/>
        </w:rPr>
        <w:t xml:space="preserve"> ... </w:t>
      </w:r>
      <w:r w:rsidRPr="00CC249E">
        <w:rPr>
          <w:rtl/>
        </w:rPr>
        <w:t>רב אשי אמר: אפי' תימא רבנן, בעלי חיים חשיבי ולא בטלי</w:t>
      </w:r>
      <w:r w:rsidRPr="00CC249E">
        <w:rPr>
          <w:rFonts w:hint="cs"/>
          <w:rtl/>
        </w:rPr>
        <w:t>"</w:t>
      </w:r>
      <w:r w:rsidRPr="00CC249E">
        <w:rPr>
          <w:rtl/>
        </w:rPr>
        <w:t xml:space="preserve">. </w:t>
      </w:r>
    </w:p>
    <w:p w:rsidR="00E64E83" w:rsidRPr="00CC249E" w:rsidRDefault="004D7F82" w:rsidP="00EC5AA9">
      <w:pPr>
        <w:pStyle w:val="a8"/>
        <w:numPr>
          <w:ilvl w:val="0"/>
          <w:numId w:val="1"/>
        </w:numPr>
      </w:pPr>
      <w:r w:rsidRPr="00CC249E">
        <w:rPr>
          <w:b/>
          <w:bCs/>
          <w:rtl/>
        </w:rPr>
        <w:t>רמב"ם מאכלות אסורות</w:t>
      </w:r>
      <w:r w:rsidRPr="00CC249E">
        <w:rPr>
          <w:rFonts w:hint="cs"/>
          <w:b/>
          <w:bCs/>
          <w:rtl/>
        </w:rPr>
        <w:t>, ט"ז א'-ד':</w:t>
      </w:r>
      <w:r w:rsidRPr="00CC249E">
        <w:rPr>
          <w:rFonts w:hint="cs"/>
          <w:rtl/>
        </w:rPr>
        <w:t xml:space="preserve"> "כ</w:t>
      </w:r>
      <w:r w:rsidRPr="00CC249E">
        <w:rPr>
          <w:rtl/>
        </w:rPr>
        <w:t xml:space="preserve">ל השיעורים האלו שנתנו חכמים לדבר האסור שנתערב במינו המותר בשלא היה הדבר האסור מחמץ או מתבל, או </w:t>
      </w:r>
      <w:r w:rsidRPr="00CC249E">
        <w:rPr>
          <w:u w:val="single"/>
          <w:rtl/>
        </w:rPr>
        <w:t>דבר חשוב שהוא עומד כמות שהוא ולא נתערב ונדמע בדבר המותר</w:t>
      </w:r>
      <w:r w:rsidRPr="00CC249E">
        <w:rPr>
          <w:rtl/>
        </w:rPr>
        <w:t>, אבל אם היה מחמץ או מ</w:t>
      </w:r>
      <w:r w:rsidRPr="00CC249E">
        <w:rPr>
          <w:rtl/>
        </w:rPr>
        <w:t>תבל, או דבר חשוב אוסר בכל שהוא</w:t>
      </w:r>
      <w:r w:rsidRPr="00CC249E">
        <w:rPr>
          <w:rFonts w:hint="cs"/>
          <w:rtl/>
        </w:rPr>
        <w:t xml:space="preserve"> ... </w:t>
      </w:r>
      <w:r w:rsidRPr="00CC249E">
        <w:rPr>
          <w:rtl/>
        </w:rPr>
        <w:t>דבר חשוב שהוא אוסר במינו בכל שהוא שבעה דברים ואלו הן: אגוזי פרך, ורמוני בדן, וחביות סתומות, וחלפות תרדין, וקלחי כרוב, ודלעת יוונית, וככרות של בעל הבית. כיצד רמון אחד מרמוני בדן שהיה ערלה ונתערב בכמה אלפים רמונים הכל אסור בהנייה, וכן חבית סתומה של יין ערלה או של כלאי הכרם שנתערבה בכמה אלפים חביות סתומות הכל אסורים בהנייה, וכן שאר השבעה דברים</w:t>
      </w:r>
      <w:r w:rsidR="00E64E83" w:rsidRPr="00CC249E">
        <w:rPr>
          <w:rFonts w:hint="cs"/>
          <w:rtl/>
        </w:rPr>
        <w:t xml:space="preserve"> ... </w:t>
      </w:r>
      <w:r w:rsidR="00E64E83" w:rsidRPr="00CC249E">
        <w:rPr>
          <w:rtl/>
        </w:rPr>
        <w:t>וכן כל בעלי חיים חשובין הן ואינם בטלין, לפיכך שור הנסקל שנתערב באלף שוורים ועגלה ערופה באלף עגלות, או צפור מצורע השחוטה באלף צפרים או פטר חמור באלף חמורים כולן אסורין בהנייה, אבל שאר הדברים אף על פי שדרכן לימנות הרי אלו עולין בשיעורן</w:t>
      </w:r>
      <w:r w:rsidR="00E64E83" w:rsidRPr="00CC249E">
        <w:rPr>
          <w:rFonts w:hint="cs"/>
          <w:rtl/>
        </w:rPr>
        <w:t>"</w:t>
      </w:r>
      <w:r w:rsidR="00E64E83" w:rsidRPr="00CC249E">
        <w:rPr>
          <w:rtl/>
        </w:rPr>
        <w:t>.</w:t>
      </w:r>
    </w:p>
    <w:p w:rsidR="004D7F82" w:rsidRPr="00CC249E" w:rsidRDefault="00E64E83" w:rsidP="00D12090">
      <w:pPr>
        <w:pStyle w:val="a8"/>
        <w:numPr>
          <w:ilvl w:val="0"/>
          <w:numId w:val="1"/>
        </w:numPr>
      </w:pPr>
      <w:r w:rsidRPr="00CC249E">
        <w:rPr>
          <w:b/>
          <w:bCs/>
          <w:rtl/>
        </w:rPr>
        <w:t xml:space="preserve">כסף משנה </w:t>
      </w:r>
      <w:r w:rsidRPr="00CC249E">
        <w:rPr>
          <w:rFonts w:hint="cs"/>
          <w:b/>
          <w:bCs/>
          <w:rtl/>
        </w:rPr>
        <w:t>שם:</w:t>
      </w:r>
      <w:r w:rsidRPr="00CC249E">
        <w:rPr>
          <w:rFonts w:hint="cs"/>
          <w:rtl/>
        </w:rPr>
        <w:t xml:space="preserve"> "</w:t>
      </w:r>
      <w:r w:rsidRPr="00CC249E">
        <w:rPr>
          <w:rtl/>
        </w:rPr>
        <w:t>ובפרק התערובות ובדוכתי אחריני ולכאורה משמע דכיון דפליגי ר"י ור"ל אליבא דר"מ הלכתא כותיה וכדברי ר' יוחנן דאמר את שדרכו לימנות שנינו וכן פסק סמ"ג אבל דעת רבינו דלא קי"ל כר"מ במקום חכמים ור"ע ואף על גב דפליגי ר"י ור"ל בפירוש דברי ר"מ אינו הכרח לומר דס"ל דהלכתא כוותיה נגד חכמים ור"ע ובפלוגתא דחכמים ור"ע פסק כר"ע דשבעה דברים בלבד הן שאוסרים בכל שהן מפני שהן דבר חשוב וכתב דה"ה לחתיכה הראויה להתכבד שהיא אוסרת בכל שהוא מפני שהיא חשובה</w:t>
      </w:r>
      <w:r w:rsidRPr="00CC249E">
        <w:rPr>
          <w:rFonts w:hint="cs"/>
          <w:rtl/>
        </w:rPr>
        <w:t>".</w:t>
      </w:r>
    </w:p>
    <w:p w:rsidR="00340A47" w:rsidRPr="00CC249E" w:rsidRDefault="00340A47" w:rsidP="00B62C1E">
      <w:pPr>
        <w:pStyle w:val="a8"/>
        <w:numPr>
          <w:ilvl w:val="0"/>
          <w:numId w:val="1"/>
        </w:numPr>
      </w:pPr>
      <w:r w:rsidRPr="00CC249E">
        <w:rPr>
          <w:rFonts w:hint="cs"/>
          <w:b/>
          <w:bCs/>
          <w:rtl/>
        </w:rPr>
        <w:t>רמב"ם שם:</w:t>
      </w:r>
      <w:r w:rsidRPr="00CC249E">
        <w:rPr>
          <w:rFonts w:hint="cs"/>
          <w:rtl/>
        </w:rPr>
        <w:t xml:space="preserve"> "</w:t>
      </w:r>
      <w:r w:rsidRPr="00557F76">
        <w:rPr>
          <w:u w:val="single"/>
          <w:rtl/>
        </w:rPr>
        <w:t>יראה לי שכל דבר שהוא חשוב אצל בני מקום מן המקומות</w:t>
      </w:r>
      <w:r w:rsidRPr="00CC249E">
        <w:rPr>
          <w:rtl/>
        </w:rPr>
        <w:t xml:space="preserve">, כגון אגוזי פרך ורמוני בדן בארץ ישראל באותן הזמנים, שהוא אוסר בכל שהוא </w:t>
      </w:r>
      <w:r w:rsidRPr="004F045F">
        <w:rPr>
          <w:u w:val="single"/>
          <w:rtl/>
        </w:rPr>
        <w:t>לפי חשיבותו באותו מקום ובאותו זמן</w:t>
      </w:r>
      <w:r w:rsidRPr="00CC249E">
        <w:rPr>
          <w:rtl/>
        </w:rPr>
        <w:t>, ולא הוזכרו אלו אלא לפי שהן אוסרין כל שהן בכל מקום, והוא הדין לכל כיוצא בהן בשאר מקומות ודבר ברור הוא שכל איסורין האלו מדבריהם</w:t>
      </w:r>
      <w:r w:rsidRPr="00CC249E">
        <w:rPr>
          <w:rFonts w:hint="cs"/>
          <w:rtl/>
        </w:rPr>
        <w:t>"</w:t>
      </w:r>
      <w:r w:rsidRPr="00CC249E">
        <w:rPr>
          <w:rtl/>
        </w:rPr>
        <w:t>.</w:t>
      </w:r>
    </w:p>
    <w:p w:rsidR="00340A47" w:rsidRPr="00CC249E" w:rsidRDefault="004D7F82" w:rsidP="0059722A">
      <w:pPr>
        <w:pStyle w:val="a8"/>
        <w:numPr>
          <w:ilvl w:val="0"/>
          <w:numId w:val="1"/>
        </w:numPr>
      </w:pPr>
      <w:r w:rsidRPr="00CC249E">
        <w:rPr>
          <w:b/>
          <w:bCs/>
          <w:rtl/>
        </w:rPr>
        <w:t xml:space="preserve">שולחן ערוך </w:t>
      </w:r>
      <w:r w:rsidR="00340A47" w:rsidRPr="00CC249E">
        <w:rPr>
          <w:rFonts w:hint="cs"/>
          <w:b/>
          <w:bCs/>
          <w:rtl/>
        </w:rPr>
        <w:t>ורמ"א יורה דעה, ק"י א':</w:t>
      </w:r>
      <w:r w:rsidR="00340A47" w:rsidRPr="00CC249E">
        <w:rPr>
          <w:rFonts w:hint="cs"/>
          <w:rtl/>
        </w:rPr>
        <w:t xml:space="preserve"> "</w:t>
      </w:r>
      <w:r w:rsidRPr="00CC249E">
        <w:rPr>
          <w:rtl/>
        </w:rPr>
        <w:t xml:space="preserve">דבר חשוב אוסר במינו בכל שהוא, והם ז' דברים ואלו הם: אגוזי פרך ורמוני בדן וחביות סתומות וחלפות תרדין וקלחי כרוב ודלעת יונית וככרות של בעל הבית. וכן בעלי חיים חשובים הם ואינם בטלים. אבל שאר דברים, אף על פי שדרכן למנות, הרי אלו עולים בשיעורן. </w:t>
      </w:r>
    </w:p>
    <w:p w:rsidR="00340A47" w:rsidRPr="00CC249E" w:rsidRDefault="004D7F82" w:rsidP="00340A47">
      <w:pPr>
        <w:pStyle w:val="a8"/>
        <w:ind w:left="360"/>
        <w:rPr>
          <w:rtl/>
        </w:rPr>
      </w:pPr>
      <w:r w:rsidRPr="00CC249E">
        <w:rPr>
          <w:rtl/>
        </w:rPr>
        <w:t xml:space="preserve">הגה: ויש אומרים דכל דבר שבמנין, דהיינו שדרכו למנותו תמיד, אינו בטל (טור בשם ר"י וב"י). וכן נוהגין. </w:t>
      </w:r>
    </w:p>
    <w:p w:rsidR="004D7F82" w:rsidRPr="00CC249E" w:rsidRDefault="004D7F82" w:rsidP="00340A47">
      <w:pPr>
        <w:pStyle w:val="a8"/>
        <w:ind w:left="360"/>
        <w:rPr>
          <w:rtl/>
        </w:rPr>
      </w:pPr>
      <w:r w:rsidRPr="00CC249E">
        <w:rPr>
          <w:rtl/>
        </w:rPr>
        <w:t>כל דבר שהוא חשוב אצל בני מקום מהמקומות, כגון אגוזי פרך ורמוני בדן בארץ ישראל באותם הזמנים, הוא אוסר בכל שהוא, לפי חשיבותו באותו מקום ובאותו זמן, ולא הוזכרו אלו אלא לפי שהן אוסרים בכל שהן בכל מקום. וה"ה בכל כיוצא בהן, בשאר מקומות</w:t>
      </w:r>
      <w:r w:rsidR="00340A47" w:rsidRPr="00CC249E">
        <w:rPr>
          <w:rFonts w:hint="cs"/>
          <w:rtl/>
        </w:rPr>
        <w:t>"</w:t>
      </w:r>
      <w:r w:rsidRPr="00CC249E">
        <w:rPr>
          <w:rtl/>
        </w:rPr>
        <w:t>.</w:t>
      </w:r>
    </w:p>
    <w:p w:rsidR="00A85A51" w:rsidRPr="00CC249E" w:rsidRDefault="00A85A51" w:rsidP="00A85A51">
      <w:pPr>
        <w:rPr>
          <w:rtl/>
        </w:rPr>
      </w:pPr>
    </w:p>
    <w:p w:rsidR="00A85A51" w:rsidRPr="00CC249E" w:rsidRDefault="00A85A51" w:rsidP="00A85A51">
      <w:pPr>
        <w:rPr>
          <w:b/>
          <w:bCs/>
          <w:u w:val="single"/>
          <w:rtl/>
        </w:rPr>
      </w:pPr>
      <w:r w:rsidRPr="00CC249E">
        <w:rPr>
          <w:rFonts w:hint="cs"/>
          <w:b/>
          <w:bCs/>
          <w:u w:val="single"/>
          <w:rtl/>
        </w:rPr>
        <w:t>ב. יסוד הדין</w:t>
      </w:r>
    </w:p>
    <w:p w:rsidR="007A673A" w:rsidRPr="00CC249E" w:rsidRDefault="007A673A" w:rsidP="00F3316F">
      <w:pPr>
        <w:pStyle w:val="a8"/>
        <w:numPr>
          <w:ilvl w:val="0"/>
          <w:numId w:val="1"/>
        </w:numPr>
        <w:rPr>
          <w:rtl/>
        </w:rPr>
      </w:pPr>
      <w:r w:rsidRPr="00CC249E">
        <w:rPr>
          <w:b/>
          <w:bCs/>
          <w:rtl/>
        </w:rPr>
        <w:t xml:space="preserve">שולחן ערוך </w:t>
      </w:r>
      <w:r w:rsidRPr="00CC249E">
        <w:rPr>
          <w:rFonts w:hint="cs"/>
          <w:b/>
          <w:bCs/>
          <w:rtl/>
        </w:rPr>
        <w:t>ורמ"א, יורה דעה ק"א ג' (בדין חתיכה הראויה להתכבד):</w:t>
      </w:r>
      <w:r w:rsidRPr="00CC249E">
        <w:rPr>
          <w:rFonts w:hint="cs"/>
        </w:rPr>
        <w:t xml:space="preserve"> </w:t>
      </w:r>
      <w:r w:rsidRPr="00CC249E">
        <w:rPr>
          <w:rFonts w:hint="cs"/>
          <w:rtl/>
        </w:rPr>
        <w:t>"</w:t>
      </w:r>
      <w:r w:rsidRPr="00CC249E">
        <w:rPr>
          <w:rtl/>
        </w:rPr>
        <w:t>תרנגולת בנוצתה שנתערבה באחרות, בטלה, שהרי אינה ראויה להתכבד לפני האורחים כמות שהיא. ואף על פי שאחר שנתערבה הסירו הנוצה. וכן לא חשיבה ראויה להתכבד אלא אם כן היא מבושלת. וכן כבש שלם או חתיכה גדולה יותר מדאי, לא חשיבה ראויה להתכבד, שאין דרך ליתן לפני האורח כבש שלם או חתיכה גדולה יותר מדאי. ויש חולקים בכל זה. הגה: וכן נוהגין, מלבד תרנגולת בנוצתה דמחוסרת מעשה גדול, דנוהגים בה שהיא בטילה</w:t>
      </w:r>
      <w:r w:rsidRPr="00CC249E">
        <w:rPr>
          <w:rFonts w:hint="cs"/>
          <w:rtl/>
        </w:rPr>
        <w:t>".</w:t>
      </w:r>
    </w:p>
    <w:p w:rsidR="007A673A" w:rsidRPr="00CC249E" w:rsidRDefault="007A673A" w:rsidP="00F3316F">
      <w:pPr>
        <w:pStyle w:val="a8"/>
        <w:numPr>
          <w:ilvl w:val="0"/>
          <w:numId w:val="1"/>
        </w:numPr>
        <w:rPr>
          <w:rtl/>
        </w:rPr>
      </w:pPr>
      <w:r w:rsidRPr="00CC249E">
        <w:rPr>
          <w:rFonts w:hint="cs"/>
          <w:b/>
          <w:bCs/>
          <w:rtl/>
        </w:rPr>
        <w:t>ש"ך שם:</w:t>
      </w:r>
      <w:r w:rsidRPr="00CC249E">
        <w:rPr>
          <w:rFonts w:hint="cs"/>
          <w:rtl/>
        </w:rPr>
        <w:t xml:space="preserve"> "</w:t>
      </w:r>
      <w:r w:rsidRPr="00CC249E">
        <w:rPr>
          <w:rtl/>
        </w:rPr>
        <w:t>משמע מדברי המחבר והפוסקי' דגם דבר שבמנין נמי לא הוי וכמ"ש מהרש"ל באו"ש ובספרו פג"ה סי' נ"ג שמחוסר תיקון גדול כ"כ לא הוי נמי דבר שבמנין</w:t>
      </w:r>
      <w:r w:rsidR="00B8053C" w:rsidRPr="00CC249E">
        <w:rPr>
          <w:rFonts w:hint="cs"/>
          <w:rtl/>
        </w:rPr>
        <w:t>,</w:t>
      </w:r>
      <w:r w:rsidRPr="00CC249E">
        <w:rPr>
          <w:rtl/>
        </w:rPr>
        <w:t xml:space="preserve"> והכי מוכח להדיא במרדכי פ"ק דביצה ע"ש וכנ"ד הב"ח</w:t>
      </w:r>
      <w:r w:rsidR="00B8053C" w:rsidRPr="00CC249E">
        <w:rPr>
          <w:rFonts w:hint="cs"/>
          <w:rtl/>
        </w:rPr>
        <w:t>.</w:t>
      </w:r>
      <w:r w:rsidRPr="00CC249E">
        <w:rPr>
          <w:rtl/>
        </w:rPr>
        <w:t xml:space="preserve"> דלא כת"ח כלל מ' ד"ג שכתב דאף דבטלה מכח חה"ל לא בטלה מכח דבר שבמנין</w:t>
      </w:r>
      <w:r w:rsidRPr="00CC249E">
        <w:rPr>
          <w:rFonts w:hint="cs"/>
          <w:rtl/>
        </w:rPr>
        <w:t>".</w:t>
      </w:r>
    </w:p>
    <w:p w:rsidR="00D46F98" w:rsidRPr="00CC249E" w:rsidRDefault="007A673A" w:rsidP="00D46F98">
      <w:pPr>
        <w:pStyle w:val="a8"/>
        <w:numPr>
          <w:ilvl w:val="0"/>
          <w:numId w:val="1"/>
        </w:numPr>
      </w:pPr>
      <w:r w:rsidRPr="00CC249E">
        <w:rPr>
          <w:rFonts w:hint="cs"/>
          <w:b/>
          <w:bCs/>
          <w:rtl/>
        </w:rPr>
        <w:t xml:space="preserve">שיעורי הרב י"צ רימון, איסור והיתר: </w:t>
      </w:r>
      <w:r w:rsidRPr="00CC249E">
        <w:rPr>
          <w:rFonts w:hint="cs"/>
          <w:rtl/>
        </w:rPr>
        <w:t xml:space="preserve">"נקודה זו מובילה אותנו למחלוקת עקרונית בין הש"ך לרמ"א, </w:t>
      </w:r>
      <w:r w:rsidRPr="004F045F">
        <w:rPr>
          <w:rFonts w:hint="cs"/>
          <w:u w:val="single"/>
          <w:rtl/>
        </w:rPr>
        <w:t>האם דבר שבמניין הוא סימן או סיבה</w:t>
      </w:r>
      <w:r w:rsidRPr="00CC249E">
        <w:rPr>
          <w:rFonts w:hint="cs"/>
          <w:rtl/>
        </w:rPr>
        <w:t xml:space="preserve">. לפי הש"ך זהו סימן ל'דבר חשוב'. לכן, אם יש דבר שאיננו חשוב מסיבות אויבקטיביות, לא תהיה השפעה לכך שהוא גם דבר שבמניין. לעומת זאת, לפי הרמ"א 'דבר שבמניין' הוא סיבה עצמאית, ולכן, גם אם אין זו </w:t>
      </w:r>
      <w:r w:rsidR="00D46F98" w:rsidRPr="00CC249E">
        <w:rPr>
          <w:rFonts w:hint="cs"/>
          <w:rtl/>
        </w:rPr>
        <w:t>חתיכה הראויה להתכבד</w:t>
      </w:r>
      <w:r w:rsidRPr="00CC249E">
        <w:rPr>
          <w:rFonts w:hint="cs"/>
          <w:rtl/>
        </w:rPr>
        <w:t>, הרי שלא יתבטל מדין</w:t>
      </w:r>
      <w:r w:rsidR="00D46F98" w:rsidRPr="00CC249E">
        <w:rPr>
          <w:rFonts w:hint="cs"/>
          <w:rtl/>
        </w:rPr>
        <w:t xml:space="preserve"> </w:t>
      </w:r>
      <w:r w:rsidRPr="00CC249E">
        <w:rPr>
          <w:rFonts w:hint="cs"/>
          <w:rtl/>
        </w:rPr>
        <w:t xml:space="preserve">'דבר שבמניין'. </w:t>
      </w:r>
    </w:p>
    <w:p w:rsidR="007A673A" w:rsidRPr="00CC249E" w:rsidRDefault="007A673A" w:rsidP="00D46F98">
      <w:pPr>
        <w:pStyle w:val="a8"/>
        <w:ind w:left="360"/>
        <w:rPr>
          <w:rtl/>
        </w:rPr>
      </w:pPr>
      <w:r w:rsidRPr="00CC249E">
        <w:rPr>
          <w:rFonts w:hint="cs"/>
          <w:rtl/>
        </w:rPr>
        <w:t>ומדוע שנאמר שדבר שבמניין הוא סיבה עצמאית? כנראה, שעצם העובדה שסופרים אותו, אינה מאפשרת לו להפוך לחלק מהתערובת! לכן, אין הוא בטל גם אם איננו חשוב".</w:t>
      </w:r>
    </w:p>
    <w:p w:rsidR="007A673A" w:rsidRPr="00CC249E" w:rsidRDefault="008636B9" w:rsidP="00F3316F">
      <w:pPr>
        <w:pStyle w:val="a8"/>
        <w:numPr>
          <w:ilvl w:val="0"/>
          <w:numId w:val="1"/>
        </w:numPr>
        <w:rPr>
          <w:rtl/>
        </w:rPr>
      </w:pPr>
      <w:r w:rsidRPr="00CC249E">
        <w:rPr>
          <w:b/>
          <w:bCs/>
          <w:rtl/>
        </w:rPr>
        <w:lastRenderedPageBreak/>
        <w:t>שערי י</w:t>
      </w:r>
      <w:r w:rsidR="00701062">
        <w:rPr>
          <w:rFonts w:hint="cs"/>
          <w:b/>
          <w:bCs/>
          <w:rtl/>
        </w:rPr>
        <w:t>ו</w:t>
      </w:r>
      <w:r w:rsidRPr="00CC249E">
        <w:rPr>
          <w:b/>
          <w:bCs/>
          <w:rtl/>
        </w:rPr>
        <w:t>שר</w:t>
      </w:r>
      <w:r w:rsidRPr="00CC249E">
        <w:rPr>
          <w:rFonts w:hint="cs"/>
          <w:b/>
          <w:bCs/>
          <w:rtl/>
        </w:rPr>
        <w:t>, שער ד' פרק י':</w:t>
      </w:r>
      <w:r w:rsidRPr="00CC249E">
        <w:rPr>
          <w:rFonts w:hint="cs"/>
          <w:rtl/>
        </w:rPr>
        <w:t xml:space="preserve"> "</w:t>
      </w:r>
      <w:r w:rsidRPr="00CC249E">
        <w:rPr>
          <w:rtl/>
        </w:rPr>
        <w:t xml:space="preserve">דכל הדברים שאינם מתבטלים הוא משום </w:t>
      </w:r>
      <w:r w:rsidRPr="00CC249E">
        <w:rPr>
          <w:u w:val="single"/>
          <w:rtl/>
        </w:rPr>
        <w:t>דעשאוהו רבנן כדבר קבוע וניכר</w:t>
      </w:r>
      <w:r w:rsidRPr="00CC249E">
        <w:rPr>
          <w:rtl/>
        </w:rPr>
        <w:t xml:space="preserve">, ומהאי טעמא אינם מתבטלים, ומה דמצינו בענין זה כמה דברים ושמות נפרדים לענין דלא בטלי ברוב כמו בריה, ודבר חשוב, בעלי חיים, ודבר שבמנין, </w:t>
      </w:r>
      <w:r w:rsidRPr="00CC249E">
        <w:rPr>
          <w:u w:val="single"/>
          <w:rtl/>
        </w:rPr>
        <w:t>אין שמות אלו גורמים שלא יתבטל, אלא דבכל אלו הדברים חשבו חז"ל כקבוע וניכר</w:t>
      </w:r>
      <w:r w:rsidRPr="00023CE8">
        <w:rPr>
          <w:u w:val="single"/>
          <w:rtl/>
        </w:rPr>
        <w:t>, והטעם דלא בטלי הוא כלל אחד כולל את כולם דעשאום כקבוע, וקבוע כמחצה על מחצה, וממילא ליכא רוב ומיעוט</w:t>
      </w:r>
      <w:r w:rsidRPr="00CC249E">
        <w:rPr>
          <w:rFonts w:hint="cs"/>
          <w:rtl/>
        </w:rPr>
        <w:t xml:space="preserve"> ... </w:t>
      </w:r>
      <w:r w:rsidRPr="00CC249E">
        <w:rPr>
          <w:rtl/>
        </w:rPr>
        <w:t>דמוכח מדבריהם דחשיבות בעלי חיים וכן דבר שבמנין גורמים שלא נאמר הלך אחר הרוב מפני שהוא מיעוט חשוב וחזק הרי הוא כמחצה על מחצה</w:t>
      </w:r>
      <w:r w:rsidRPr="00CC249E">
        <w:rPr>
          <w:rFonts w:hint="cs"/>
          <w:rtl/>
        </w:rPr>
        <w:t>".</w:t>
      </w:r>
    </w:p>
    <w:p w:rsidR="008636B9" w:rsidRPr="00CC249E" w:rsidRDefault="008636B9" w:rsidP="00F3316F">
      <w:pPr>
        <w:pStyle w:val="a8"/>
        <w:numPr>
          <w:ilvl w:val="0"/>
          <w:numId w:val="1"/>
        </w:numPr>
        <w:rPr>
          <w:rtl/>
        </w:rPr>
      </w:pPr>
      <w:r w:rsidRPr="00CC249E">
        <w:rPr>
          <w:rFonts w:hint="cs"/>
          <w:b/>
          <w:bCs/>
          <w:rtl/>
        </w:rPr>
        <w:t xml:space="preserve">הגהת הרמ"א </w:t>
      </w:r>
      <w:r w:rsidRPr="00CC249E">
        <w:rPr>
          <w:b/>
          <w:bCs/>
          <w:rtl/>
        </w:rPr>
        <w:t>אורח חיים</w:t>
      </w:r>
      <w:r w:rsidRPr="00CC249E">
        <w:rPr>
          <w:rFonts w:hint="cs"/>
          <w:b/>
          <w:bCs/>
          <w:rtl/>
        </w:rPr>
        <w:t xml:space="preserve">, </w:t>
      </w:r>
      <w:r w:rsidRPr="00CC249E">
        <w:rPr>
          <w:b/>
          <w:bCs/>
          <w:rtl/>
        </w:rPr>
        <w:t>תרע</w:t>
      </w:r>
      <w:r w:rsidRPr="00CC249E">
        <w:rPr>
          <w:rFonts w:hint="cs"/>
          <w:b/>
          <w:bCs/>
          <w:rtl/>
        </w:rPr>
        <w:t>"</w:t>
      </w:r>
      <w:r w:rsidRPr="00CC249E">
        <w:rPr>
          <w:b/>
          <w:bCs/>
          <w:rtl/>
        </w:rPr>
        <w:t>ג א</w:t>
      </w:r>
      <w:r w:rsidRPr="00CC249E">
        <w:rPr>
          <w:rFonts w:hint="cs"/>
          <w:b/>
          <w:bCs/>
          <w:rtl/>
        </w:rPr>
        <w:t>':</w:t>
      </w:r>
      <w:r w:rsidRPr="00CC249E">
        <w:rPr>
          <w:rFonts w:hint="cs"/>
          <w:rtl/>
        </w:rPr>
        <w:t xml:space="preserve"> "</w:t>
      </w:r>
      <w:r w:rsidRPr="00CC249E">
        <w:rPr>
          <w:rtl/>
        </w:rPr>
        <w:t>אם נתערב נר חנוכה האסור בהנאה בשאר נרות, אפי' אחד באלף, לא בטיל דהוי דבר של מנין (ת"ה סי' ק"ג)</w:t>
      </w:r>
      <w:r w:rsidRPr="00CC249E">
        <w:rPr>
          <w:rFonts w:hint="cs"/>
          <w:rtl/>
        </w:rPr>
        <w:t>".</w:t>
      </w:r>
    </w:p>
    <w:p w:rsidR="008636B9" w:rsidRDefault="008636B9" w:rsidP="00F3316F">
      <w:pPr>
        <w:pStyle w:val="a8"/>
        <w:numPr>
          <w:ilvl w:val="0"/>
          <w:numId w:val="1"/>
        </w:numPr>
      </w:pPr>
      <w:r w:rsidRPr="00CC249E">
        <w:rPr>
          <w:b/>
          <w:bCs/>
          <w:rtl/>
        </w:rPr>
        <w:t>ט"ז</w:t>
      </w:r>
      <w:r w:rsidRPr="00CC249E">
        <w:rPr>
          <w:rFonts w:hint="cs"/>
          <w:b/>
          <w:bCs/>
          <w:rtl/>
        </w:rPr>
        <w:t xml:space="preserve"> שם:</w:t>
      </w:r>
      <w:r w:rsidRPr="00CC249E">
        <w:rPr>
          <w:rFonts w:hint="cs"/>
          <w:rtl/>
        </w:rPr>
        <w:t xml:space="preserve"> "</w:t>
      </w:r>
      <w:r w:rsidRPr="00CC249E">
        <w:rPr>
          <w:rtl/>
        </w:rPr>
        <w:t>כתוב שם בת"ה סי' ק"ג אף על גב דכשמוכרין אותו מוכרין במשקל</w:t>
      </w:r>
      <w:r w:rsidRPr="00CC249E">
        <w:rPr>
          <w:rFonts w:hint="cs"/>
          <w:rtl/>
        </w:rPr>
        <w:t>,</w:t>
      </w:r>
      <w:r w:rsidRPr="00CC249E">
        <w:rPr>
          <w:rtl/>
        </w:rPr>
        <w:t xml:space="preserve"> אלא </w:t>
      </w:r>
      <w:r w:rsidRPr="00911731">
        <w:rPr>
          <w:u w:val="single"/>
          <w:rtl/>
        </w:rPr>
        <w:t>דמצוה הוה דבר שבמנין</w:t>
      </w:r>
      <w:r w:rsidRPr="00CC249E">
        <w:rPr>
          <w:rtl/>
        </w:rPr>
        <w:t xml:space="preserve"> מ"מ כיון שנתערבו בו אחר שהודלקו למצוה</w:t>
      </w:r>
      <w:r w:rsidRPr="00CC249E">
        <w:rPr>
          <w:rFonts w:hint="cs"/>
          <w:rtl/>
        </w:rPr>
        <w:t>,</w:t>
      </w:r>
      <w:r w:rsidRPr="00CC249E">
        <w:rPr>
          <w:rtl/>
        </w:rPr>
        <w:t xml:space="preserve"> והשתא הוה דבר שבמנין במלתיהו קיימי ואף על גב דלענין חול לא הוה דבר שבמנין</w:t>
      </w:r>
      <w:r w:rsidRPr="00CC249E">
        <w:rPr>
          <w:rFonts w:hint="cs"/>
          <w:rtl/>
        </w:rPr>
        <w:t xml:space="preserve"> ... </w:t>
      </w:r>
      <w:r w:rsidRPr="00CC249E">
        <w:rPr>
          <w:rtl/>
        </w:rPr>
        <w:t>ומאוד תמהני על גברא רבה זה דכ</w:t>
      </w:r>
      <w:r w:rsidRPr="00CC249E">
        <w:rPr>
          <w:rFonts w:hint="cs"/>
          <w:rtl/>
        </w:rPr>
        <w:t>תב</w:t>
      </w:r>
      <w:r w:rsidRPr="00CC249E">
        <w:rPr>
          <w:rtl/>
        </w:rPr>
        <w:t xml:space="preserve"> שלא בדקדוק</w:t>
      </w:r>
      <w:r w:rsidRPr="00CC249E">
        <w:rPr>
          <w:rFonts w:hint="cs"/>
          <w:rtl/>
        </w:rPr>
        <w:t xml:space="preserve"> ... </w:t>
      </w:r>
      <w:r w:rsidRPr="00CC249E">
        <w:rPr>
          <w:rtl/>
        </w:rPr>
        <w:t>ואנן קי"ל דוקא את שדרכו למנות בכ</w:t>
      </w:r>
      <w:r w:rsidRPr="00CC249E">
        <w:rPr>
          <w:rFonts w:hint="cs"/>
          <w:rtl/>
        </w:rPr>
        <w:t xml:space="preserve">ל מקום </w:t>
      </w:r>
      <w:r w:rsidRPr="00CC249E">
        <w:rPr>
          <w:rtl/>
        </w:rPr>
        <w:t>וכאן בחנוכה אם נא</w:t>
      </w:r>
      <w:r w:rsidRPr="00CC249E">
        <w:rPr>
          <w:rFonts w:hint="cs"/>
          <w:rtl/>
        </w:rPr>
        <w:t>מר</w:t>
      </w:r>
      <w:r w:rsidRPr="00CC249E">
        <w:rPr>
          <w:rtl/>
        </w:rPr>
        <w:t xml:space="preserve"> שיבטל הנ</w:t>
      </w:r>
      <w:r w:rsidRPr="00CC249E">
        <w:rPr>
          <w:rFonts w:hint="cs"/>
          <w:rtl/>
        </w:rPr>
        <w:t xml:space="preserve">ר חנוכה </w:t>
      </w:r>
      <w:r w:rsidRPr="00CC249E">
        <w:rPr>
          <w:rtl/>
        </w:rPr>
        <w:t>ברוב של חול</w:t>
      </w:r>
      <w:r w:rsidRPr="00CC249E">
        <w:rPr>
          <w:rFonts w:hint="cs"/>
          <w:rtl/>
        </w:rPr>
        <w:t>,</w:t>
      </w:r>
      <w:r w:rsidRPr="00CC249E">
        <w:rPr>
          <w:rtl/>
        </w:rPr>
        <w:t xml:space="preserve"> לא יהיה דבר שבמנין דהא בחול אין משתמשין בו במנין</w:t>
      </w:r>
      <w:r w:rsidRPr="00CC249E">
        <w:rPr>
          <w:rFonts w:hint="cs"/>
          <w:rtl/>
        </w:rPr>
        <w:t>".</w:t>
      </w:r>
    </w:p>
    <w:p w:rsidR="00AB3D14" w:rsidRDefault="00AB3D14" w:rsidP="00AB3D14">
      <w:pPr>
        <w:rPr>
          <w:rtl/>
        </w:rPr>
      </w:pPr>
    </w:p>
    <w:p w:rsidR="00AB3D14" w:rsidRPr="00AB3D14" w:rsidRDefault="00AB3D14" w:rsidP="00AB3D14">
      <w:pPr>
        <w:rPr>
          <w:b/>
          <w:bCs/>
          <w:u w:val="single"/>
          <w:rtl/>
        </w:rPr>
      </w:pPr>
      <w:r>
        <w:rPr>
          <w:rFonts w:hint="cs"/>
          <w:b/>
          <w:bCs/>
          <w:u w:val="single"/>
          <w:rtl/>
        </w:rPr>
        <w:t>ג. והיה מספר בני ישראל כחול היום</w:t>
      </w:r>
    </w:p>
    <w:p w:rsidR="00145AE6" w:rsidRPr="00CC249E" w:rsidRDefault="008636B9" w:rsidP="00F3316F">
      <w:pPr>
        <w:pStyle w:val="a8"/>
        <w:numPr>
          <w:ilvl w:val="0"/>
          <w:numId w:val="1"/>
        </w:numPr>
        <w:rPr>
          <w:rtl/>
        </w:rPr>
      </w:pPr>
      <w:r w:rsidRPr="00CC249E">
        <w:rPr>
          <w:b/>
          <w:bCs/>
          <w:rtl/>
        </w:rPr>
        <w:t>של"ה פרשת במדבר</w:t>
      </w:r>
      <w:r w:rsidRPr="00CC249E">
        <w:rPr>
          <w:rFonts w:hint="cs"/>
          <w:b/>
          <w:bCs/>
          <w:rtl/>
        </w:rPr>
        <w:t>:</w:t>
      </w:r>
      <w:r w:rsidRPr="00CC249E">
        <w:rPr>
          <w:rFonts w:hint="cs"/>
          <w:rtl/>
        </w:rPr>
        <w:t xml:space="preserve"> "</w:t>
      </w:r>
      <w:r w:rsidRPr="00CC249E">
        <w:rPr>
          <w:rtl/>
        </w:rPr>
        <w:t>דע, כי יש שני עניני מספר, המספר של עניני עולם הזה שהוא חומרי, זה המספר אינו טוב, כי מאחר שנספר כל פרטי לבדו אז פירוד ואינו חיבור. וגם מורה שיש לו קץ ותכלית, אף אם תאמר שהמספר כחול הים, מכל מקום יש לו סוף ותכלית והיה כלא היה. אמנם המספר של ענין השגת עולם הבא, זה המספר בלתי מספר, ואין לו קץ וסוף ותכלית, והוא דבר שבמנין תמיד</w:t>
      </w:r>
      <w:r w:rsidRPr="00CC249E">
        <w:rPr>
          <w:rFonts w:hint="cs"/>
          <w:rtl/>
        </w:rPr>
        <w:t xml:space="preserve"> .... </w:t>
      </w:r>
      <w:r w:rsidRPr="00CC249E">
        <w:rPr>
          <w:rtl/>
        </w:rPr>
        <w:t>ובזה יובן מאמר הכתוב (הושע ב, א) 'והיה מספר בני ישראל כחול הים', וכתיב (שם) 'אשר לא ימד ולא יספר'. כי המספר של עולם הזה יש לו סוף, אבל של עולם הבא 'לא ימד ולא יספר'</w:t>
      </w:r>
      <w:r w:rsidR="00E95F99" w:rsidRPr="00CC249E">
        <w:rPr>
          <w:rFonts w:hint="cs"/>
          <w:rtl/>
        </w:rPr>
        <w:t xml:space="preserve"> ... </w:t>
      </w:r>
    </w:p>
    <w:p w:rsidR="00F3316F" w:rsidRPr="00CC249E" w:rsidRDefault="00E95F99" w:rsidP="00F3316F">
      <w:pPr>
        <w:pStyle w:val="a8"/>
        <w:ind w:left="360"/>
        <w:rPr>
          <w:rtl/>
        </w:rPr>
      </w:pPr>
      <w:r w:rsidRPr="00CC249E">
        <w:rPr>
          <w:rtl/>
        </w:rPr>
        <w:t>בענין דבר שבמנין, לענין דינא פליגי ריש לקיש ורבי יוחנן (ביצה ג ב), מר סבר את שדרכו למנות שנינו, ומר סבר כל שדרכו למנות שנינו. אף שמחלוקתם היא בדבר שבמנין לענין דינא, מכל מקום רמז נפלא בדבריהם בסוד דבר שבמנין, ויהיה רמוז בתיבת 'את' ובתיבת 'כל' כמו שנפרש, ואלו ואלו דברי אלהים חיים</w:t>
      </w:r>
      <w:r w:rsidR="00F3316F" w:rsidRPr="00CC249E">
        <w:rPr>
          <w:rFonts w:hint="cs"/>
          <w:rtl/>
        </w:rPr>
        <w:t xml:space="preserve"> ... </w:t>
      </w:r>
    </w:p>
    <w:p w:rsidR="00E95F99" w:rsidRPr="00CC249E" w:rsidRDefault="00F3316F" w:rsidP="00F3316F">
      <w:pPr>
        <w:pStyle w:val="a8"/>
        <w:ind w:left="360"/>
        <w:rPr>
          <w:rtl/>
        </w:rPr>
      </w:pPr>
      <w:r w:rsidRPr="00CC249E">
        <w:rPr>
          <w:rtl/>
        </w:rPr>
        <w:t xml:space="preserve">ואז יתבאר ענין מנין אחד לטובה ואחד להיפך. </w:t>
      </w:r>
      <w:r w:rsidRPr="001F045C">
        <w:rPr>
          <w:u w:val="single"/>
          <w:rtl/>
        </w:rPr>
        <w:t xml:space="preserve">המנין מצד הגופות בערך עולם הזה כשאינו מזוכך, שולט עין הרע ומגפה. המנין מצד הראש והמעלה, כל </w:t>
      </w:r>
      <w:bookmarkStart w:id="0" w:name="_GoBack"/>
      <w:bookmarkEnd w:id="0"/>
      <w:r w:rsidRPr="001F045C">
        <w:rPr>
          <w:u w:val="single"/>
          <w:rtl/>
        </w:rPr>
        <w:t>אחד דבר שבמנין וחשוב הוא ואינו בטל, כי כל אחד כולל כל העולם כולו, ונקרא עולם קטן</w:t>
      </w:r>
      <w:r w:rsidRPr="00CC249E">
        <w:rPr>
          <w:rtl/>
        </w:rPr>
        <w:t>, כאמרם ז"ל בברכות (ו ב) 'כי זה כל האדם' (קהלת יב, יג), לא נברא אלא לצוות לזה</w:t>
      </w:r>
      <w:r w:rsidRPr="00CC249E">
        <w:rPr>
          <w:rFonts w:hint="cs"/>
          <w:rtl/>
        </w:rPr>
        <w:t xml:space="preserve"> ... </w:t>
      </w:r>
    </w:p>
    <w:p w:rsidR="00145AE6" w:rsidRDefault="00F3316F" w:rsidP="00F3316F">
      <w:pPr>
        <w:pStyle w:val="a8"/>
        <w:ind w:left="360"/>
        <w:rPr>
          <w:rtl/>
        </w:rPr>
      </w:pPr>
      <w:r w:rsidRPr="00CC249E">
        <w:rPr>
          <w:rtl/>
        </w:rPr>
        <w:t>וכתב 'את' 'כל', רמז לשני ענינים הנזכרים לעיל כדפרישית (אות כד - כז, לב). ורמז הפלא ופלא בפלוגתת רבי יוחנן וריש לקיש 'כל' שדרכו למנות שנינו, 'את' שדרכו למנות שנינו (ביצה ג ב), רומז למנין דפרשה, אלו ואלו דברי אלהים חיים. כי 'את' עדיף מ'כל', והקדים 'כל' ל'את'</w:t>
      </w:r>
      <w:r w:rsidRPr="00CC249E">
        <w:rPr>
          <w:rFonts w:hint="cs"/>
          <w:rtl/>
        </w:rPr>
        <w:t xml:space="preserve"> ".</w:t>
      </w:r>
    </w:p>
    <w:p w:rsidR="004E410A" w:rsidRPr="00CC249E" w:rsidRDefault="004E410A" w:rsidP="006966F3">
      <w:pPr>
        <w:pStyle w:val="a8"/>
        <w:numPr>
          <w:ilvl w:val="0"/>
          <w:numId w:val="1"/>
        </w:numPr>
      </w:pPr>
      <w:r w:rsidRPr="004E410A">
        <w:rPr>
          <w:b/>
          <w:bCs/>
          <w:rtl/>
        </w:rPr>
        <w:t>פרי צדיק</w:t>
      </w:r>
      <w:r w:rsidRPr="004E410A">
        <w:rPr>
          <w:rFonts w:hint="cs"/>
          <w:b/>
          <w:bCs/>
          <w:rtl/>
        </w:rPr>
        <w:t>, פרשת שקלים:</w:t>
      </w:r>
      <w:r>
        <w:rPr>
          <w:rFonts w:hint="cs"/>
        </w:rPr>
        <w:t xml:space="preserve"> </w:t>
      </w:r>
      <w:r>
        <w:rPr>
          <w:rFonts w:hint="cs"/>
          <w:rtl/>
        </w:rPr>
        <w:t>"</w:t>
      </w:r>
      <w:r>
        <w:rPr>
          <w:rtl/>
        </w:rPr>
        <w:t xml:space="preserve">הנה דקריאת פרשה זו בכל שנה הוא כדי לזקוף ולהרים ראש בני ישראל אבל הדבר צריך ביאור במה נזקף בזה ושם הרמת הראש הוא על ידי המנין דעל זה אמר כי תשא וגו' לפקודיהם וגו' בפקוד וגו'. ובפשוטו נראה כי </w:t>
      </w:r>
      <w:r w:rsidRPr="004F045F">
        <w:rPr>
          <w:u w:val="single"/>
          <w:rtl/>
        </w:rPr>
        <w:t>המנין מורה חשיבות הדבר</w:t>
      </w:r>
      <w:r>
        <w:rPr>
          <w:rtl/>
        </w:rPr>
        <w:t xml:space="preserve"> וכמו שאמרו מטעם זה דכל דבר שבמנין לא בטל וחכמים אומרים רק ששה דברים אגוזי פרך וכו' (ביצה ג' ב) שאלו חשובים ודרך למוכרם במנין</w:t>
      </w:r>
      <w:r>
        <w:rPr>
          <w:rFonts w:hint="cs"/>
          <w:rtl/>
        </w:rPr>
        <w:t>"</w:t>
      </w:r>
      <w:r>
        <w:rPr>
          <w:rtl/>
        </w:rPr>
        <w:t>.</w:t>
      </w:r>
    </w:p>
    <w:sectPr w:rsidR="004E410A" w:rsidRPr="00CC249E" w:rsidSect="00557F76">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C67" w:rsidRDefault="00B01C67" w:rsidP="001250C8">
      <w:pPr>
        <w:spacing w:line="240" w:lineRule="auto"/>
      </w:pPr>
      <w:r>
        <w:separator/>
      </w:r>
    </w:p>
  </w:endnote>
  <w:endnote w:type="continuationSeparator" w:id="0">
    <w:p w:rsidR="00B01C67" w:rsidRDefault="00B01C6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C67" w:rsidRDefault="00B01C67" w:rsidP="001250C8">
      <w:pPr>
        <w:spacing w:line="240" w:lineRule="auto"/>
      </w:pPr>
      <w:r>
        <w:separator/>
      </w:r>
    </w:p>
  </w:footnote>
  <w:footnote w:type="continuationSeparator" w:id="0">
    <w:p w:rsidR="00B01C67" w:rsidRDefault="00B01C67"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D448C2"/>
    <w:multiLevelType w:val="hybridMultilevel"/>
    <w:tmpl w:val="68481FE0"/>
    <w:lvl w:ilvl="0" w:tplc="16E8356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E6"/>
    <w:rsid w:val="00023CE8"/>
    <w:rsid w:val="001250C8"/>
    <w:rsid w:val="00145AE6"/>
    <w:rsid w:val="001F045C"/>
    <w:rsid w:val="001F403E"/>
    <w:rsid w:val="002E1DB7"/>
    <w:rsid w:val="00340A47"/>
    <w:rsid w:val="003B3C37"/>
    <w:rsid w:val="003B5377"/>
    <w:rsid w:val="004552BD"/>
    <w:rsid w:val="004D7F82"/>
    <w:rsid w:val="004E410A"/>
    <w:rsid w:val="004F045F"/>
    <w:rsid w:val="00557F76"/>
    <w:rsid w:val="00656813"/>
    <w:rsid w:val="006A29B5"/>
    <w:rsid w:val="00701062"/>
    <w:rsid w:val="007A673A"/>
    <w:rsid w:val="008636B9"/>
    <w:rsid w:val="008A0A58"/>
    <w:rsid w:val="00911731"/>
    <w:rsid w:val="00A13A6B"/>
    <w:rsid w:val="00A85A51"/>
    <w:rsid w:val="00AB3D14"/>
    <w:rsid w:val="00B01C67"/>
    <w:rsid w:val="00B45A22"/>
    <w:rsid w:val="00B8053C"/>
    <w:rsid w:val="00BA1479"/>
    <w:rsid w:val="00CC249E"/>
    <w:rsid w:val="00D46F98"/>
    <w:rsid w:val="00E64E83"/>
    <w:rsid w:val="00E93D7D"/>
    <w:rsid w:val="00E95F99"/>
    <w:rsid w:val="00F331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D4370-996C-448E-A0DC-0E5FFA96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45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55</TotalTime>
  <Pages>2</Pages>
  <Words>1080</Words>
  <Characters>5402</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2025-11-22T22:04:00Z</dcterms:created>
  <dcterms:modified xsi:type="dcterms:W3CDTF">2025-11-23T20:51:00Z</dcterms:modified>
</cp:coreProperties>
</file>