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D97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  <w:r w:rsidRPr="00067504"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פסול שהייה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 xml:space="preserve"> בשחיטה</w:t>
      </w:r>
    </w:p>
    <w:p w14:paraId="341478DC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0"/>
          <w:szCs w:val="20"/>
          <w:rtl/>
        </w:rPr>
      </w:pPr>
    </w:p>
    <w:p w14:paraId="106D71DB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0"/>
          <w:szCs w:val="20"/>
          <w:rtl/>
        </w:rPr>
      </w:pPr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 xml:space="preserve">"שמעתי מר' בונם שר' שמואל סיפר כי </w:t>
      </w:r>
      <w:proofErr w:type="spellStart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>בראדאמסק</w:t>
      </w:r>
      <w:proofErr w:type="spellEnd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 xml:space="preserve"> היה מכוון דירת בעל הבית אחד נגד חלון שוחט אחד, וראה הבעל הבית שהשוחט בכל שבת מיד אחר האכילה הולך לישון עד לעת ערב.  וחרה </w:t>
      </w:r>
      <w:proofErr w:type="spellStart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>להבעל</w:t>
      </w:r>
      <w:proofErr w:type="spellEnd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 xml:space="preserve"> הבית, והלשין לפני הקדוש בעל מחבר ספר תפארת שלמה, כי השוחט אינו לומד בשבת כלום, רק ישן כל היום. והשיב לו: 'רב תודה לך </w:t>
      </w:r>
      <w:proofErr w:type="spellStart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>שאהניתי</w:t>
      </w:r>
      <w:proofErr w:type="spellEnd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 xml:space="preserve"> אותי, כי אני נהגתי מבלי לאכול בשר משחיטת מוצאי שבת קודש, כי חששתי על שהשוחט יגע ועייף משבת קודש. עתה </w:t>
      </w:r>
      <w:proofErr w:type="spellStart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>אהנית</w:t>
      </w:r>
      <w:proofErr w:type="spellEnd"/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 xml:space="preserve"> אותי שסיפרת לי כי השוחט נפש ושבת ביום שבת קודש</w:t>
      </w:r>
      <w:r w:rsidRPr="00067504">
        <w:rPr>
          <w:rStyle w:val="a5"/>
          <w:rFonts w:asciiTheme="majorBidi" w:hAnsiTheme="majorBidi" w:cstheme="majorBidi"/>
          <w:bCs/>
          <w:sz w:val="20"/>
          <w:szCs w:val="20"/>
          <w:rtl/>
        </w:rPr>
        <w:footnoteReference w:id="1"/>
      </w:r>
      <w:r w:rsidRPr="00067504">
        <w:rPr>
          <w:rFonts w:asciiTheme="majorBidi" w:hAnsiTheme="majorBidi" w:cstheme="majorBidi" w:hint="cs"/>
          <w:bCs/>
          <w:sz w:val="20"/>
          <w:szCs w:val="20"/>
          <w:rtl/>
        </w:rPr>
        <w:t>".</w:t>
      </w:r>
    </w:p>
    <w:p w14:paraId="51B5A18B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</w:p>
    <w:p w14:paraId="40033A2C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t>חולין לב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א</w:t>
      </w:r>
    </w:p>
    <w:p w14:paraId="56DB7A4E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מתני'. נפלה סכין והגביהה, נפלו כליו והגביהן, השחיז את הסכין ועף בא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חבירו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ושחט, אם שהה כדי שחיטה - פסולה; רבי שמעון אומר: אם שהה כדי ביקור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3CEFF7C0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sz w:val="24"/>
          <w:szCs w:val="24"/>
          <w:rtl/>
        </w:rPr>
      </w:pP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גמ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'. מאי כדי שחיטה? אמר רב: כדי שחיטת בהמה אחרת. אמרי ליה רב כהנא ורב אסי לרב: כדי שחיטת בהמה לבהמה ועוף לעוף, או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דלמא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אף בהמה לעוף? אמר להו: לא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הוה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בדיחנא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ביה בחביבי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דאישייליה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.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אתמר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, אמר רב: כדי שחיטת בהמה לבהמה ועוף לעוף, ושמואל אמר: אפילו בהמה לעוף. וכן כי אתא רבין אמר רבי יוחנן: אפילו בהמה לעוף. רבי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חנניא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אמר: כדי שיביא בהמה אחרת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וישחוט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. יביא אפילו מעלמא, נתת דבריך לשיעורין! אמר רב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פפא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: עומדת להטיל איכא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בינייהו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. אמרי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במערבא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משמיה דרבי יוסי ברבי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: כדי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שיגביהנה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וירביצנה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וישחוט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, דקה לדקה וגסה לגסה. </w:t>
      </w:r>
    </w:p>
    <w:p w14:paraId="5D004C6D" w14:textId="77777777" w:rsidR="00A25B02" w:rsidRPr="00067504" w:rsidRDefault="00A25B02" w:rsidP="00A25B0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הגדרת השהייה בסוגיה</w:t>
      </w:r>
    </w:p>
    <w:p w14:paraId="6F80DCF8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המשנה מביאה מספר דוגמאות להפסקה באמצע השחיטה. אם נפלה הסכין או נפלו בגדיו, "</w:t>
      </w:r>
      <w:r w:rsidRPr="00067504">
        <w:rPr>
          <w:rFonts w:ascii="David" w:hAnsi="David" w:cs="David"/>
          <w:b/>
          <w:sz w:val="24"/>
          <w:szCs w:val="24"/>
          <w:rtl/>
        </w:rPr>
        <w:t>השחיז את הסכין ועף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", כלומר: התעייף. את המשפט האחרון ניתן להבין או כשני מקרים נפרדים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2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, או שהתעייף מחמת השחזה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3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3DA9FB19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שיעור השהייה הפוסל הוא "כדי שחיטה". לשיטת רב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הזמן הקובע הוא זמן השחיטה בפועל, בהמה לבהמה ועוף לעוף. שמואל ורבי יוחנן מקילים שאף בעוף השהייה הפוסלת היא כדי שחיטת בהמה. 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מציע שהזמן הקובע הוא כדי הבאת בהמה אחרת ושחיטתה, והגמרא שואלת על דבריו 'נתת דבריך לשיעורי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ן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'.</w:t>
      </w:r>
    </w:p>
    <w:p w14:paraId="3D12C23A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רב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פפא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מגיב: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'ועומדת להטיל'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. רש"י גורס כהמשך: 'איכא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בינייהו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', כלומר: שלרבי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השיעור כולל גם הטלת בהמה העומדת בסמוך, ולרבי יוחנן ושמואל - לא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4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. </w:t>
      </w:r>
    </w:p>
    <w:p w14:paraId="13B2043D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בהמשך מוסיף 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רבי יוסי ברבי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>: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כדי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שיגביהנה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וירביצנה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וישחוט</w:t>
      </w:r>
      <w:proofErr w:type="spellEnd"/>
      <w:r w:rsidRPr="00067504">
        <w:rPr>
          <w:rFonts w:ascii="David" w:hAnsi="David" w:cs="David" w:hint="cs"/>
          <w:b/>
          <w:sz w:val="24"/>
          <w:szCs w:val="24"/>
          <w:rtl/>
        </w:rPr>
        <w:t>".</w:t>
      </w:r>
    </w:p>
    <w:p w14:paraId="2F59517B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 xml:space="preserve">א1. ההלכה במחלוקת רב ורבי יוחנן                  </w:t>
      </w:r>
    </w:p>
    <w:p w14:paraId="1097B3C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lastRenderedPageBreak/>
        <w:t>רש"י מכריע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>במחלוקת רבי יוחנן ורב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, 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>כדעת רב: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"אף על גב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דרב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ורבי יוחנן הלכה כרבי יוחנן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,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כיון דקים ליה רבי יוסי בר רבי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חנינא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בשיטתיה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דרב</w:t>
      </w:r>
      <w:proofErr w:type="spellEnd"/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דאמר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דקה לדקה וגסה לגסה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-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ממילא שמעינן </w:t>
      </w:r>
      <w:r w:rsidRPr="00067504">
        <w:rPr>
          <w:rFonts w:ascii="David" w:hAnsi="David" w:cs="David" w:hint="cs"/>
          <w:b/>
          <w:sz w:val="24"/>
          <w:szCs w:val="24"/>
          <w:rtl/>
        </w:rPr>
        <w:t>'</w:t>
      </w:r>
      <w:r w:rsidRPr="00067504">
        <w:rPr>
          <w:rFonts w:ascii="David" w:hAnsi="David" w:cs="David"/>
          <w:b/>
          <w:sz w:val="24"/>
          <w:szCs w:val="24"/>
          <w:rtl/>
        </w:rPr>
        <w:t>ועוף לעוף</w:t>
      </w:r>
      <w:r w:rsidRPr="00067504">
        <w:rPr>
          <w:rFonts w:ascii="David" w:hAnsi="David" w:cs="David" w:hint="cs"/>
          <w:b/>
          <w:sz w:val="24"/>
          <w:szCs w:val="24"/>
          <w:rtl/>
        </w:rPr>
        <w:t>'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ועבדינן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לחומרא</w:t>
      </w:r>
      <w:proofErr w:type="spellEnd"/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5"/>
      </w:r>
      <w:r w:rsidRPr="00067504">
        <w:rPr>
          <w:rFonts w:ascii="David" w:hAnsi="David" w:cs="David"/>
          <w:b/>
          <w:sz w:val="24"/>
          <w:szCs w:val="24"/>
          <w:rtl/>
        </w:rPr>
        <w:t>".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אם בדקה אין משערים בגסה, על פי דברי רבי יוסי, כל שכן בעוף, הרחוק יותר במהותו מבהמה גסה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6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26D98A54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לעומת זאת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הרי"ף</w:t>
      </w:r>
      <w:proofErr w:type="spellEnd"/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7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פוסק כרבי יוחנן ושמואל </w:t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proofErr w:type="spellStart"/>
      <w:r w:rsidRPr="00067504">
        <w:rPr>
          <w:rFonts w:ascii="David" w:hAnsi="David" w:cs="David" w:hint="cs"/>
          <w:b/>
          <w:sz w:val="24"/>
          <w:szCs w:val="24"/>
          <w:rtl/>
        </w:rPr>
        <w:t>דהוו</w:t>
      </w:r>
      <w:proofErr w:type="spellEnd"/>
      <w:r w:rsidRPr="00067504">
        <w:rPr>
          <w:rFonts w:ascii="David" w:hAnsi="David" w:cs="David" w:hint="cs"/>
          <w:b/>
          <w:sz w:val="24"/>
          <w:szCs w:val="24"/>
          <w:rtl/>
        </w:rPr>
        <w:t xml:space="preserve"> ליה תרי".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הרשב"א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אף סבור שרבי יוסי ברבי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הקפיד שלא להזכיר עוף, כי </w:t>
      </w:r>
      <w:r w:rsidRPr="00067504">
        <w:rPr>
          <w:rFonts w:ascii="David" w:hAnsi="David" w:cs="David"/>
          <w:b/>
          <w:sz w:val="24"/>
          <w:szCs w:val="24"/>
          <w:rtl/>
        </w:rPr>
        <w:t>"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ליכא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אלא הני תרי שיעורי</w:t>
      </w:r>
      <w:r w:rsidRPr="00067504">
        <w:rPr>
          <w:rFonts w:ascii="David" w:hAnsi="David" w:cs="David" w:hint="cs"/>
          <w:b/>
          <w:sz w:val="24"/>
          <w:szCs w:val="24"/>
          <w:rtl/>
        </w:rPr>
        <w:t>: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דקה וגסה</w:t>
      </w:r>
      <w:r w:rsidRPr="00067504">
        <w:rPr>
          <w:rFonts w:ascii="David" w:hAnsi="David" w:cs="David" w:hint="cs"/>
          <w:b/>
          <w:sz w:val="24"/>
          <w:szCs w:val="24"/>
          <w:rtl/>
        </w:rPr>
        <w:t>.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ובכלל שיעור דקה הוי שיעור עוף</w:t>
      </w:r>
      <w:r w:rsidRPr="00067504">
        <w:rPr>
          <w:rFonts w:ascii="David" w:hAnsi="David" w:cs="David" w:hint="cs"/>
          <w:b/>
          <w:sz w:val="24"/>
          <w:szCs w:val="24"/>
          <w:rtl/>
        </w:rPr>
        <w:t>.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דהכי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אגמריה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רחמנא למשה בשהייה לדקה, ועוף כדי שיעור שחיטת דקה, ושיעור גסה לגסה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8"/>
      </w:r>
      <w:r w:rsidRPr="00067504">
        <w:rPr>
          <w:rFonts w:ascii="David" w:hAnsi="David" w:cs="David"/>
          <w:b/>
          <w:sz w:val="24"/>
          <w:szCs w:val="24"/>
          <w:rtl/>
        </w:rPr>
        <w:t>"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.  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>דהיינו שגם הוא סובר כרבי יוחנן ושמואל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, ולכן לא הזכיר שיעור עוף לעוף.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הרא"ש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מבין בדעת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הרי"ף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שמשערים גם לעוף בבהמה גסה, שכן רבי יוחנן ושמואל נקטו בהמה בסתם, שהיא גסה. </w:t>
      </w:r>
    </w:p>
    <w:p w14:paraId="029C7D9B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 xml:space="preserve">א2. רבי </w:t>
      </w:r>
      <w:proofErr w:type="spellStart"/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 xml:space="preserve"> ורבי יוסי</w:t>
      </w:r>
    </w:p>
    <w:p w14:paraId="488B428E" w14:textId="77777777" w:rsidR="00A25B02" w:rsidRPr="00067504" w:rsidRDefault="00A25B02" w:rsidP="00A25B02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, המגדיר זמן שהייה לפי הבאת בהמה אחרת, וודאי שמסכים עם רבי יוסי ברבי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 אם הטלה כלולה בשיעור הזמן, וודאי גם הגבהתה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9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. </w:t>
      </w:r>
    </w:p>
    <w:p w14:paraId="2185119D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 xml:space="preserve">א3. רבי </w:t>
      </w:r>
      <w:proofErr w:type="spellStart"/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חנינא</w:t>
      </w:r>
      <w:proofErr w:type="spellEnd"/>
    </w:p>
    <w:p w14:paraId="09017E38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הטור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הולך בדרכו של רש"י, לפסוק כרב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ו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גם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פסק כרבי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,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כפי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שפסקו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בני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מערבא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את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דברי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רבי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יוסי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ברבי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: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</w:p>
    <w:p w14:paraId="1953D714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b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והך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שחיטה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דמשערינן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בה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י"א דהיינו ברבוצה ועומדת לשחוט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שאין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משערין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אלא בכדי חתיכת הסימנים לבד, וי"א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שמשערין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בכדי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שיגביהנה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וירביצנה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וישחטנה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. </w:t>
      </w:r>
      <w:r w:rsidRPr="00067504">
        <w:rPr>
          <w:rFonts w:ascii="David" w:hAnsi="David" w:cs="David"/>
          <w:bCs/>
          <w:sz w:val="24"/>
          <w:szCs w:val="24"/>
          <w:rtl/>
        </w:rPr>
        <w:t>וכן עיקר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10"/>
      </w:r>
      <w:r w:rsidRPr="00067504">
        <w:rPr>
          <w:rFonts w:ascii="David" w:hAnsi="David" w:cs="David"/>
          <w:b/>
          <w:sz w:val="24"/>
          <w:szCs w:val="24"/>
          <w:rtl/>
        </w:rPr>
        <w:t xml:space="preserve">. </w:t>
      </w:r>
    </w:p>
    <w:p w14:paraId="406EDE9A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אולם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, </w:t>
      </w:r>
      <w:proofErr w:type="spellStart"/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הרא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>"ש</w:t>
      </w:r>
      <w:proofErr w:type="spellEnd"/>
      <w:r w:rsidRPr="00067504">
        <w:rPr>
          <w:rStyle w:val="a5"/>
          <w:rFonts w:asciiTheme="majorBidi" w:hAnsiTheme="majorBidi" w:cstheme="majorBidi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מעיר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בהבנת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דברי רש"י,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שפסיקה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כרב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מול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רבי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יוחנן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אינה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כוללת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בהכרח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הכרעה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בסוגיית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ההטלה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: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"במה שהשוו רב ורבי יוחנן ושמואל דלא בעינן שיעור הגבהה והרבצה הלכה כמותם, ולא כרבי יוסי בר'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חנינא</w:t>
      </w:r>
      <w:proofErr w:type="spellEnd"/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11"/>
      </w:r>
      <w:r w:rsidRPr="00067504">
        <w:rPr>
          <w:rFonts w:ascii="David" w:hAnsi="David" w:cs="David"/>
          <w:b/>
          <w:sz w:val="24"/>
          <w:szCs w:val="24"/>
          <w:rtl/>
        </w:rPr>
        <w:t>".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כן היא גם דעת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הרי"ד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, ששלושת האמוראים מן הדור הראשון חולקים על רבי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>:</w:t>
      </w:r>
    </w:p>
    <w:p w14:paraId="785E8698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="David" w:hAnsi="David" w:cs="David"/>
          <w:b/>
          <w:sz w:val="24"/>
          <w:szCs w:val="24"/>
          <w:rtl/>
        </w:rPr>
        <w:t xml:space="preserve">ור' יוסי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סבירא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ליה כאבוה</w:t>
      </w:r>
      <w:r w:rsidRPr="00067504">
        <w:rPr>
          <w:rFonts w:ascii="David" w:hAnsi="David" w:cs="David" w:hint="cs"/>
          <w:b/>
          <w:sz w:val="24"/>
          <w:szCs w:val="24"/>
          <w:rtl/>
        </w:rPr>
        <w:t>.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וכיון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דרב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ושמואל ור' יוחנן לא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סבירא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להו הכי, לית הלכת</w:t>
      </w:r>
      <w:r w:rsidRPr="00067504">
        <w:rPr>
          <w:rFonts w:ascii="David" w:hAnsi="David" w:cs="David" w:hint="cs"/>
          <w:b/>
          <w:sz w:val="24"/>
          <w:szCs w:val="24"/>
          <w:rtl/>
        </w:rPr>
        <w:t>א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כר' יוסי בר' חנינה, ולא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משערינן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אלא בבהמה רבוצה. ובדקה לדקה וגסה לגסה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הילכתא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כוותיה, שלא מצאנו שחלקו עליו בזה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12"/>
      </w:r>
      <w:r w:rsidRPr="00067504">
        <w:rPr>
          <w:rFonts w:ascii="David" w:hAnsi="David" w:cs="David" w:hint="cs"/>
          <w:b/>
          <w:sz w:val="24"/>
          <w:szCs w:val="24"/>
          <w:rtl/>
        </w:rPr>
        <w:t>.</w:t>
      </w:r>
    </w:p>
    <w:p w14:paraId="5D5E6E74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="Arial Narrow" w:hAnsi="Arial Narrow" w:cstheme="majorBidi"/>
          <w:b/>
          <w:sz w:val="24"/>
          <w:szCs w:val="24"/>
          <w:rtl/>
        </w:rPr>
        <w:lastRenderedPageBreak/>
        <w:t xml:space="preserve">מכל מקום הרמב"ן </w:t>
      </w:r>
      <w:proofErr w:type="spellStart"/>
      <w:r w:rsidRPr="00067504">
        <w:rPr>
          <w:rFonts w:ascii="Arial Narrow" w:hAnsi="Arial Narrow" w:cstheme="majorBidi"/>
          <w:b/>
          <w:sz w:val="24"/>
          <w:szCs w:val="24"/>
          <w:rtl/>
        </w:rPr>
        <w:t>והרא"ש</w:t>
      </w:r>
      <w:proofErr w:type="spellEnd"/>
      <w:r w:rsidRPr="00067504">
        <w:rPr>
          <w:rFonts w:ascii="Arial Narrow" w:hAnsi="Arial Narrow" w:cstheme="majorBidi"/>
          <w:b/>
          <w:sz w:val="24"/>
          <w:szCs w:val="24"/>
          <w:rtl/>
        </w:rPr>
        <w:t xml:space="preserve"> אינם גורסים בגמרא את ההמשך 'איכא </w:t>
      </w:r>
      <w:proofErr w:type="spellStart"/>
      <w:r w:rsidRPr="00067504">
        <w:rPr>
          <w:rFonts w:ascii="Arial Narrow" w:hAnsi="Arial Narrow" w:cstheme="majorBidi"/>
          <w:b/>
          <w:sz w:val="24"/>
          <w:szCs w:val="24"/>
          <w:rtl/>
        </w:rPr>
        <w:t>בינייהו</w:t>
      </w:r>
      <w:proofErr w:type="spellEnd"/>
      <w:r w:rsidRPr="00067504">
        <w:rPr>
          <w:rFonts w:ascii="Arial Narrow" w:hAnsi="Arial Narrow" w:cstheme="majorBidi"/>
          <w:b/>
          <w:sz w:val="24"/>
          <w:szCs w:val="24"/>
          <w:rtl/>
        </w:rPr>
        <w:t xml:space="preserve">', וסבורים שלפנינו פרשנות רציפה של המשנה: רבי </w:t>
      </w:r>
      <w:proofErr w:type="spellStart"/>
      <w:r w:rsidRPr="00067504">
        <w:rPr>
          <w:rFonts w:ascii="Arial Narrow" w:hAnsi="Arial Narrow" w:cstheme="majorBidi"/>
          <w:b/>
          <w:sz w:val="24"/>
          <w:szCs w:val="24"/>
          <w:rtl/>
        </w:rPr>
        <w:t>חנינא</w:t>
      </w:r>
      <w:proofErr w:type="spellEnd"/>
      <w:r w:rsidRPr="00067504">
        <w:rPr>
          <w:rFonts w:ascii="Arial Narrow" w:hAnsi="Arial Narrow" w:cstheme="majorBidi"/>
          <w:b/>
          <w:sz w:val="24"/>
          <w:szCs w:val="24"/>
          <w:rtl/>
        </w:rPr>
        <w:t xml:space="preserve"> מסביר שהשיעור של רב ושמואל כולל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גם הטלה, ורב </w:t>
      </w:r>
      <w:proofErr w:type="spellStart"/>
      <w:r w:rsidRPr="00067504">
        <w:rPr>
          <w:rFonts w:asciiTheme="majorBidi" w:hAnsiTheme="majorBidi" w:cstheme="majorBidi"/>
          <w:b/>
          <w:sz w:val="24"/>
          <w:szCs w:val="24"/>
          <w:rtl/>
        </w:rPr>
        <w:t>פפא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ביאר דבריו.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"ואין שום אמורא חולק על רבי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חנינא</w:t>
      </w:r>
      <w:proofErr w:type="spellEnd"/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13"/>
      </w:r>
      <w:r w:rsidRPr="00067504">
        <w:rPr>
          <w:rFonts w:ascii="David" w:hAnsi="David" w:cs="David"/>
          <w:b/>
          <w:sz w:val="24"/>
          <w:szCs w:val="24"/>
          <w:rtl/>
        </w:rPr>
        <w:t>".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וגם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לא על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רבי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יוסי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ברבי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eastAsia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0AC02E16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 xml:space="preserve">א4. רבי יוסי ברבי </w:t>
      </w:r>
      <w:proofErr w:type="spellStart"/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חנינא</w:t>
      </w:r>
      <w:proofErr w:type="spellEnd"/>
    </w:p>
    <w:p w14:paraId="09B4C296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כאמור, לפי הרמב"ן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והרא"ש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, אין חולק על תוספת הצורך בזמן הטלה, להגדרת שהייה.</w:t>
      </w:r>
    </w:p>
    <w:p w14:paraId="769997A1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הרי"ף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, למרות שפסק כרבי יוחנן ושמואל, פסק גם כרבי יוסי בר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בי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14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.</w:t>
      </w:r>
    </w:p>
    <w:p w14:paraId="7D5B02F5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="Arial Narrow" w:hAnsi="Arial Narrow" w:cs="David"/>
          <w:b/>
          <w:sz w:val="24"/>
          <w:szCs w:val="24"/>
          <w:rtl/>
        </w:rPr>
      </w:pPr>
      <w:r w:rsidRPr="00067504">
        <w:rPr>
          <w:rFonts w:asciiTheme="majorBidi" w:hAnsiTheme="majorBidi" w:cs="Times New Roman" w:hint="cs"/>
          <w:b/>
          <w:sz w:val="24"/>
          <w:szCs w:val="24"/>
          <w:rtl/>
        </w:rPr>
        <w:t xml:space="preserve">גם </w:t>
      </w:r>
      <w:r w:rsidRPr="00067504">
        <w:rPr>
          <w:rFonts w:ascii="Arial Narrow" w:hAnsi="Arial Narrow" w:cstheme="majorBidi"/>
          <w:b/>
          <w:sz w:val="24"/>
          <w:szCs w:val="24"/>
          <w:rtl/>
        </w:rPr>
        <w:t>הרמב"ם כ</w:t>
      </w:r>
      <w:r w:rsidRPr="00067504">
        <w:rPr>
          <w:rFonts w:ascii="Arial Narrow" w:hAnsi="Arial Narrow" w:cstheme="majorBidi" w:hint="cs"/>
          <w:b/>
          <w:sz w:val="24"/>
          <w:szCs w:val="24"/>
          <w:rtl/>
        </w:rPr>
        <w:t>ו</w:t>
      </w:r>
      <w:r w:rsidRPr="00067504">
        <w:rPr>
          <w:rFonts w:ascii="Arial Narrow" w:hAnsi="Arial Narrow" w:cstheme="majorBidi"/>
          <w:b/>
          <w:sz w:val="24"/>
          <w:szCs w:val="24"/>
          <w:rtl/>
        </w:rPr>
        <w:t xml:space="preserve">תב: </w:t>
      </w:r>
    </w:p>
    <w:p w14:paraId="278D5A6E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="Arial Narrow" w:hAnsi="Arial Narrow" w:cs="David"/>
          <w:b/>
          <w:sz w:val="24"/>
          <w:szCs w:val="24"/>
          <w:rtl/>
        </w:rPr>
        <w:t>שהייה כיצד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>?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הרי שהתחיל לשחוט והגביה ידו קודם שיגמור השחיטה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>,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ושהה בין בשוגג בין במזיד בין באונס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>,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וחזר הוא או אחר וגמר את השחיטה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 xml:space="preserve">, 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אם שהה כדי </w:t>
      </w:r>
      <w:r w:rsidRPr="00067504">
        <w:rPr>
          <w:rFonts w:ascii="Arial Narrow" w:hAnsi="Arial Narrow" w:cs="David"/>
          <w:bCs/>
          <w:sz w:val="24"/>
          <w:szCs w:val="24"/>
          <w:rtl/>
        </w:rPr>
        <w:t xml:space="preserve">שיגביה את הבהמה </w:t>
      </w:r>
      <w:proofErr w:type="spellStart"/>
      <w:r w:rsidRPr="00067504">
        <w:rPr>
          <w:rFonts w:ascii="Arial Narrow" w:hAnsi="Arial Narrow" w:cs="David"/>
          <w:bCs/>
          <w:sz w:val="24"/>
          <w:szCs w:val="24"/>
          <w:rtl/>
        </w:rPr>
        <w:t>וירביצנה</w:t>
      </w:r>
      <w:proofErr w:type="spellEnd"/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Arial Narrow" w:hAnsi="Arial Narrow" w:cs="David"/>
          <w:b/>
          <w:sz w:val="24"/>
          <w:szCs w:val="24"/>
          <w:rtl/>
        </w:rPr>
        <w:t>וישחוט</w:t>
      </w:r>
      <w:proofErr w:type="spellEnd"/>
      <w:r>
        <w:rPr>
          <w:rFonts w:ascii="Arial Narrow" w:hAnsi="Arial Narrow" w:cs="David" w:hint="cs"/>
          <w:b/>
          <w:sz w:val="24"/>
          <w:szCs w:val="24"/>
          <w:rtl/>
        </w:rPr>
        <w:t xml:space="preserve"> 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>-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שחיטתו פסולה, ואם שהה פחות מכדי זה</w:t>
      </w:r>
      <w:r>
        <w:rPr>
          <w:rFonts w:ascii="Arial Narrow" w:hAnsi="Arial Narrow" w:cs="David" w:hint="cs"/>
          <w:b/>
          <w:sz w:val="24"/>
          <w:szCs w:val="24"/>
          <w:rtl/>
        </w:rPr>
        <w:t xml:space="preserve"> </w:t>
      </w:r>
      <w:r w:rsidRPr="00067504">
        <w:rPr>
          <w:rFonts w:ascii="Arial Narrow" w:hAnsi="Arial Narrow" w:cs="David" w:hint="cs"/>
          <w:b/>
          <w:sz w:val="24"/>
          <w:szCs w:val="24"/>
          <w:rtl/>
        </w:rPr>
        <w:t>-</w:t>
      </w:r>
      <w:r w:rsidRPr="00067504">
        <w:rPr>
          <w:rFonts w:ascii="Arial Narrow" w:hAnsi="Arial Narrow" w:cs="David"/>
          <w:b/>
          <w:sz w:val="24"/>
          <w:szCs w:val="24"/>
          <w:rtl/>
        </w:rPr>
        <w:t xml:space="preserve"> שחיטתו כשרה</w:t>
      </w:r>
      <w:r w:rsidRPr="00067504">
        <w:rPr>
          <w:rStyle w:val="a5"/>
          <w:rFonts w:ascii="Arial Narrow" w:hAnsi="Arial Narrow" w:cs="David"/>
          <w:b/>
          <w:sz w:val="24"/>
          <w:szCs w:val="24"/>
          <w:rtl/>
        </w:rPr>
        <w:footnoteReference w:id="15"/>
      </w:r>
      <w:r w:rsidRPr="00067504">
        <w:rPr>
          <w:rFonts w:ascii="Arial Narrow" w:hAnsi="Arial Narrow" w:cs="David"/>
          <w:b/>
          <w:sz w:val="24"/>
          <w:szCs w:val="24"/>
          <w:rtl/>
        </w:rPr>
        <w:t>.</w:t>
      </w:r>
    </w:p>
    <w:p w14:paraId="74D2F750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כבר התבאר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שהרי"ד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ובעל המאור פסקו שדברי רבי יוסי דחויים מן ההלכה.</w:t>
      </w:r>
    </w:p>
    <w:p w14:paraId="5C66B198" w14:textId="77777777" w:rsidR="00A25B02" w:rsidRPr="00067504" w:rsidRDefault="00A25B02" w:rsidP="00A25B02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/>
          <w:sz w:val="24"/>
          <w:szCs w:val="24"/>
          <w:rtl/>
        </w:rPr>
        <w:t xml:space="preserve">לדברי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הרא"ש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הרי"ף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מביא את דברי רבי יוסי בר</w:t>
      </w:r>
      <w:r>
        <w:rPr>
          <w:rFonts w:asciiTheme="majorBidi" w:hAnsiTheme="majorBidi" w:cstheme="majorBidi" w:hint="cs"/>
          <w:sz w:val="24"/>
          <w:szCs w:val="24"/>
          <w:rtl/>
        </w:rPr>
        <w:t>בי</w:t>
      </w:r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067504">
        <w:rPr>
          <w:rFonts w:asciiTheme="majorBidi" w:hAnsiTheme="majorBidi" w:cstheme="majorBidi"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רק לגבי הגבהה והרבצה, ולא בשאלת שיעור השחיטה. שהלכה כרבי יוחנן ושמואל, לשער גם לעוף בבהמה גסה.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הב"י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תמה על כך, ודעתו </w:t>
      </w:r>
      <w:proofErr w:type="spellStart"/>
      <w:r w:rsidRPr="00067504">
        <w:rPr>
          <w:rFonts w:asciiTheme="majorBidi" w:hAnsiTheme="majorBidi" w:cstheme="majorBidi" w:hint="cs"/>
          <w:sz w:val="24"/>
          <w:szCs w:val="24"/>
          <w:rtl/>
        </w:rPr>
        <w:t>כר"ן</w:t>
      </w:r>
      <w:proofErr w:type="spellEnd"/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שאין מחלוקת בזה: "</w:t>
      </w:r>
      <w:r w:rsidRPr="00067504">
        <w:rPr>
          <w:rFonts w:ascii="David" w:hAnsi="David" w:cs="David"/>
          <w:sz w:val="24"/>
          <w:szCs w:val="24"/>
          <w:rtl/>
        </w:rPr>
        <w:t xml:space="preserve">וכיון דלא פליגי נקטינן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דשיעורא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דשהייה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כדי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שיגביהנה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וירביצנה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דקה לדקה וגסה לגסה</w:t>
      </w:r>
      <w:r w:rsidRPr="00067504">
        <w:rPr>
          <w:rStyle w:val="a5"/>
          <w:rFonts w:ascii="David" w:hAnsi="David" w:cs="David"/>
          <w:sz w:val="24"/>
          <w:szCs w:val="24"/>
          <w:rtl/>
        </w:rPr>
        <w:footnoteReference w:id="16"/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כך מבין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הב"י</w:t>
      </w:r>
      <w:proofErr w:type="spellEnd"/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17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גם בדברי הרמב"ם.</w:t>
      </w:r>
    </w:p>
    <w:p w14:paraId="6AB80608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א5. סיכום השיטות</w:t>
      </w:r>
    </w:p>
    <w:p w14:paraId="30CC5DB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אם כן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אלו הן עיקרי השיטות:</w:t>
      </w:r>
    </w:p>
    <w:p w14:paraId="2B34E6AA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לדעת רש"י, 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סובר כרב והלכה כמותם. לדעת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הרשב"א</w:t>
      </w:r>
      <w:proofErr w:type="spellEnd"/>
      <w:r>
        <w:rPr>
          <w:rFonts w:asciiTheme="majorBidi" w:hAnsiTheme="majorBidi" w:cstheme="majorBidi" w:hint="cs"/>
          <w:b/>
          <w:sz w:val="24"/>
          <w:szCs w:val="24"/>
          <w:rtl/>
        </w:rPr>
        <w:t>,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סובר כרבי יוחנן ושמואל והלכה כמותם.</w:t>
      </w:r>
    </w:p>
    <w:p w14:paraId="2781DAC8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הרי"ד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סבור שרב, שמואל ורבי יוחנן חולקים על רבי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חנינא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ורבי יוסי, ולכן אין הלכה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כשניהם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3BB2E806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הרמב"ן סובר שאין חולק על רבי יוסי בצורך בזמן הטלה.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הרא"ש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מבין ששמואל ורבי יוחנן סוברים שהזמן הוא הטלת בהמה גסה ולא כדברי רבי יוסי, והבית יוסף חולק על כך. לדעתו גם הם התכוונו לזמן הטלת דקה לדקה.</w:t>
      </w:r>
    </w:p>
    <w:p w14:paraId="597BFEF3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נסכם את ההשלכות לבעלי החיים השונים בעזרת טבלה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18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:</w:t>
      </w:r>
    </w:p>
    <w:p w14:paraId="04F0A924" w14:textId="77777777" w:rsidR="00A25B02" w:rsidRPr="00067504" w:rsidRDefault="00A25B02" w:rsidP="00A25B02">
      <w:pPr>
        <w:bidi w:val="0"/>
        <w:rPr>
          <w:rFonts w:asciiTheme="majorBidi" w:hAnsiTheme="majorBidi" w:cstheme="majorBidi"/>
          <w:b/>
          <w:sz w:val="24"/>
          <w:szCs w:val="24"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br w:type="page"/>
      </w:r>
    </w:p>
    <w:p w14:paraId="1F957D08" w14:textId="77777777" w:rsidR="00A25B02" w:rsidRPr="00067504" w:rsidRDefault="00A25B02" w:rsidP="00A25B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023"/>
        <w:gridCol w:w="3932"/>
        <w:gridCol w:w="3341"/>
      </w:tblGrid>
      <w:tr w:rsidR="00A25B02" w:rsidRPr="00067504" w14:paraId="293E0E1F" w14:textId="77777777" w:rsidTr="00290FA0">
        <w:tc>
          <w:tcPr>
            <w:tcW w:w="1139" w:type="dxa"/>
          </w:tcPr>
          <w:p w14:paraId="44EA632A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14:paraId="6EEB1221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זמן שחיטה</w:t>
            </w:r>
          </w:p>
        </w:tc>
        <w:tc>
          <w:tcPr>
            <w:tcW w:w="4111" w:type="dxa"/>
          </w:tcPr>
          <w:p w14:paraId="4B236DF4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רבי יוסי בר'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חנינא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- הגבהה והרבצה</w:t>
            </w:r>
          </w:p>
        </w:tc>
      </w:tr>
      <w:tr w:rsidR="00A25B02" w:rsidRPr="00067504" w14:paraId="57A69E97" w14:textId="77777777" w:rsidTr="00290FA0">
        <w:tc>
          <w:tcPr>
            <w:tcW w:w="1139" w:type="dxa"/>
          </w:tcPr>
          <w:p w14:paraId="4CB084FE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בהמה גסה</w:t>
            </w:r>
          </w:p>
        </w:tc>
        <w:tc>
          <w:tcPr>
            <w:tcW w:w="4820" w:type="dxa"/>
          </w:tcPr>
          <w:p w14:paraId="2AEAD3EC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שיעור שחיטת בהמה גסה.</w:t>
            </w:r>
          </w:p>
        </w:tc>
        <w:tc>
          <w:tcPr>
            <w:tcW w:w="4111" w:type="dxa"/>
          </w:tcPr>
          <w:p w14:paraId="0DD0E1CC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פשט רש"י כרבי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חנינא</w:t>
            </w:r>
            <w:proofErr w:type="spellEnd"/>
            <w:r w:rsidRPr="00067504">
              <w:rPr>
                <w:rStyle w:val="a5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19"/>
            </w: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. כהרבצת בהמה גסה</w:t>
            </w:r>
            <w:r w:rsidRPr="00067504">
              <w:rPr>
                <w:rStyle w:val="a5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20"/>
            </w: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. </w:t>
            </w:r>
          </w:p>
          <w:p w14:paraId="21731984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הרי"ד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סובר שאין הלכה כרבי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חנינא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בזה.</w:t>
            </w:r>
          </w:p>
        </w:tc>
      </w:tr>
      <w:tr w:rsidR="00A25B02" w:rsidRPr="00067504" w14:paraId="340AF31A" w14:textId="77777777" w:rsidTr="00290FA0">
        <w:tc>
          <w:tcPr>
            <w:tcW w:w="1139" w:type="dxa"/>
          </w:tcPr>
          <w:p w14:paraId="2E1EE531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בהמה דקה</w:t>
            </w:r>
          </w:p>
        </w:tc>
        <w:tc>
          <w:tcPr>
            <w:tcW w:w="4820" w:type="dxa"/>
          </w:tcPr>
          <w:p w14:paraId="724B5693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בבהמה דקה, שלא נחלקו על רבי יוסי בזה</w:t>
            </w:r>
            <w:r w:rsidRPr="00067504">
              <w:rPr>
                <w:rStyle w:val="a5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21"/>
            </w: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.  </w:t>
            </w:r>
          </w:p>
          <w:p w14:paraId="4F453412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רא"ש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בהבנת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הרי"ף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: </w:t>
            </w:r>
          </w:p>
          <w:p w14:paraId="2CEB7B52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בבהמה גסה, כשמואל ורבי יוחנן שחלקו עליו בזה.</w:t>
            </w:r>
          </w:p>
        </w:tc>
        <w:tc>
          <w:tcPr>
            <w:tcW w:w="4111" w:type="dxa"/>
          </w:tcPr>
          <w:p w14:paraId="60E6B807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רשב"א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, רמב"ם, טור,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שו"ע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: עם הגבהה והרבצה, שהלכה כרבי יוסי.</w:t>
            </w:r>
          </w:p>
          <w:p w14:paraId="0E2ECA13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הרי"ד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סובר שאין הלכה כרבי יוסי.</w:t>
            </w:r>
          </w:p>
        </w:tc>
      </w:tr>
      <w:tr w:rsidR="00A25B02" w:rsidRPr="00067504" w14:paraId="11136974" w14:textId="77777777" w:rsidTr="00290FA0">
        <w:tc>
          <w:tcPr>
            <w:tcW w:w="1139" w:type="dxa"/>
            <w:vMerge w:val="restart"/>
          </w:tcPr>
          <w:p w14:paraId="231CE8C4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עוף</w:t>
            </w:r>
          </w:p>
        </w:tc>
        <w:tc>
          <w:tcPr>
            <w:tcW w:w="4820" w:type="dxa"/>
          </w:tcPr>
          <w:p w14:paraId="271A6326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מחלוקת רב כנגד שמואל ורבי יוחנן. רש"י פוסק כרב לשער בעוף,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והרי"ף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כשמואל, לשער בבהמה. לדעת הרמב"ם והרמב"ן בבהמה דקה, </w:t>
            </w:r>
          </w:p>
          <w:p w14:paraId="3A5A6845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לדעת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הרא"ש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בבהמה גסה, שהאמוראים סתמו דבריהם</w:t>
            </w:r>
            <w:r w:rsidRPr="00067504">
              <w:rPr>
                <w:rStyle w:val="a5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22"/>
            </w: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</w:tcPr>
          <w:p w14:paraId="395EF323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מחלוקת בדעת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הרי"ף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. לפי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הרא"ש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ללא הגבהה והרבצה, ולפי הדרישה </w:t>
            </w:r>
            <w:proofErr w:type="spellStart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והט"ז</w:t>
            </w:r>
            <w:proofErr w:type="spellEnd"/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כולל הגבהה והרבצה. </w:t>
            </w:r>
          </w:p>
          <w:p w14:paraId="0AA257EA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</w:tr>
      <w:tr w:rsidR="00A25B02" w:rsidRPr="00067504" w14:paraId="1BA00B16" w14:textId="77777777" w:rsidTr="00290FA0">
        <w:tc>
          <w:tcPr>
            <w:tcW w:w="1139" w:type="dxa"/>
            <w:vMerge/>
          </w:tcPr>
          <w:p w14:paraId="30C13885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8931" w:type="dxa"/>
            <w:gridSpan w:val="2"/>
          </w:tcPr>
          <w:p w14:paraId="7FA214B0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השולחן ערוך מביא את דעת הרמב"ם</w:t>
            </w:r>
            <w:r w:rsidRPr="00067504">
              <w:rPr>
                <w:rStyle w:val="a5"/>
                <w:rFonts w:asciiTheme="majorBidi" w:hAnsiTheme="majorBidi" w:cstheme="majorBidi"/>
                <w:b/>
                <w:sz w:val="24"/>
                <w:szCs w:val="24"/>
                <w:rtl/>
              </w:rPr>
              <w:footnoteReference w:id="23"/>
            </w: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>: השיעור הוא הגבהת בהמה דקה, הרבצתה ושחיטתה.</w:t>
            </w:r>
          </w:p>
          <w:p w14:paraId="0800A3FE" w14:textId="77777777" w:rsidR="00A25B02" w:rsidRPr="00067504" w:rsidRDefault="00A25B02" w:rsidP="00290FA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067504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בדעה שנייה הוא מחמיר לשער בעוף, וללא הגבהה והרבצה. ובסיום הדברים נאמר: </w:t>
            </w:r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>"</w:t>
            </w:r>
            <w:proofErr w:type="spellStart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>ולענין</w:t>
            </w:r>
            <w:proofErr w:type="spellEnd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 xml:space="preserve"> מעשה יש להחמיר </w:t>
            </w:r>
            <w:proofErr w:type="spellStart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>כסברא</w:t>
            </w:r>
            <w:proofErr w:type="spellEnd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 xml:space="preserve"> זו, אלא א"כ הוא שעת הדחק או הפסד מרובה שאז יש לסמוך על </w:t>
            </w:r>
            <w:proofErr w:type="spellStart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>סברא</w:t>
            </w:r>
            <w:proofErr w:type="spellEnd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 xml:space="preserve"> ראשונה. </w:t>
            </w:r>
            <w:r w:rsidRPr="00067504">
              <w:rPr>
                <w:rFonts w:ascii="David" w:hAnsi="David" w:cs="David"/>
                <w:bCs/>
                <w:sz w:val="24"/>
                <w:szCs w:val="24"/>
                <w:rtl/>
              </w:rPr>
              <w:t>הגה</w:t>
            </w:r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 xml:space="preserve">: והמנהג פשוט במדינות אלו להטריף כל שהייה, אפי' משהו, בין בעוף בין בבהמה (מרדכי </w:t>
            </w:r>
            <w:proofErr w:type="spellStart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>ומהרי"ו</w:t>
            </w:r>
            <w:proofErr w:type="spellEnd"/>
            <w:r w:rsidRPr="00067504">
              <w:rPr>
                <w:rFonts w:ascii="David" w:hAnsi="David" w:cs="David"/>
                <w:b/>
                <w:sz w:val="24"/>
                <w:szCs w:val="24"/>
                <w:rtl/>
              </w:rPr>
              <w:t xml:space="preserve"> בהל' שחיטה) ואין לשנות</w:t>
            </w:r>
            <w:r w:rsidRPr="00067504">
              <w:rPr>
                <w:rStyle w:val="a5"/>
                <w:rFonts w:asciiTheme="majorBidi" w:hAnsiTheme="majorBidi" w:cs="Times New Roman"/>
                <w:b/>
                <w:sz w:val="24"/>
                <w:szCs w:val="24"/>
                <w:rtl/>
              </w:rPr>
              <w:footnoteReference w:id="24"/>
            </w:r>
            <w:r w:rsidRPr="00067504">
              <w:rPr>
                <w:rFonts w:asciiTheme="majorBidi" w:hAnsiTheme="majorBidi" w:cs="Times New Roman" w:hint="cs"/>
                <w:b/>
                <w:sz w:val="24"/>
                <w:szCs w:val="24"/>
                <w:rtl/>
              </w:rPr>
              <w:t>".</w:t>
            </w:r>
          </w:p>
        </w:tc>
      </w:tr>
    </w:tbl>
    <w:p w14:paraId="65D60D3A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</w:p>
    <w:p w14:paraId="5FC659C9" w14:textId="77777777" w:rsidR="00A25B02" w:rsidRPr="00067504" w:rsidRDefault="00A25B02" w:rsidP="00A25B0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Cs/>
          <w:sz w:val="24"/>
          <w:szCs w:val="24"/>
          <w:rtl/>
        </w:rPr>
        <w:t>גדר פסול שהייה</w:t>
      </w:r>
    </w:p>
    <w:p w14:paraId="576F6D8D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הרב יהושע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פלק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כותב: </w:t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הטעם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דשהייה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פסולה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משום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דכתיב</w:t>
      </w:r>
      <w:proofErr w:type="spellEnd"/>
      <w:r w:rsidRPr="00067504">
        <w:rPr>
          <w:rFonts w:ascii="David" w:hAnsi="David" w:cs="David" w:hint="cs"/>
          <w:b/>
          <w:sz w:val="24"/>
          <w:szCs w:val="24"/>
          <w:rtl/>
        </w:rPr>
        <w:t>: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b/>
          <w:sz w:val="24"/>
          <w:szCs w:val="24"/>
          <w:rtl/>
        </w:rPr>
        <w:t>'</w:t>
      </w:r>
      <w:r w:rsidRPr="00067504">
        <w:rPr>
          <w:rFonts w:ascii="David" w:hAnsi="David" w:cs="David"/>
          <w:b/>
          <w:sz w:val="24"/>
          <w:szCs w:val="24"/>
          <w:rtl/>
        </w:rPr>
        <w:t>ושחט</w:t>
      </w:r>
      <w:r w:rsidRPr="00067504">
        <w:rPr>
          <w:rFonts w:ascii="David" w:hAnsi="David" w:cs="David" w:hint="cs"/>
          <w:b/>
          <w:sz w:val="24"/>
          <w:szCs w:val="24"/>
          <w:rtl/>
        </w:rPr>
        <w:t>'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- </w:t>
      </w:r>
      <w:r w:rsidRPr="00067504">
        <w:rPr>
          <w:rFonts w:ascii="David" w:hAnsi="David" w:cs="David"/>
          <w:b/>
          <w:sz w:val="24"/>
          <w:szCs w:val="24"/>
          <w:rtl/>
        </w:rPr>
        <w:t>משמע שחיטה אחת ולא ש</w:t>
      </w:r>
      <w:r>
        <w:rPr>
          <w:rFonts w:ascii="David" w:hAnsi="David" w:cs="David" w:hint="cs"/>
          <w:b/>
          <w:sz w:val="24"/>
          <w:szCs w:val="24"/>
          <w:rtl/>
        </w:rPr>
        <w:t>ת</w:t>
      </w:r>
      <w:r w:rsidRPr="00067504">
        <w:rPr>
          <w:rFonts w:ascii="David" w:hAnsi="David" w:cs="David"/>
          <w:b/>
          <w:sz w:val="24"/>
          <w:szCs w:val="24"/>
          <w:rtl/>
        </w:rPr>
        <w:t>י שחיטות. ועוד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לפי שהבהמה נרתעת והדם נבלע באברים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ואינו יוצא שוב אפילו על ידי מליח</w:t>
      </w:r>
      <w:r w:rsidRPr="00067504">
        <w:rPr>
          <w:rFonts w:ascii="David" w:hAnsi="David" w:cs="David" w:hint="cs"/>
          <w:b/>
          <w:sz w:val="24"/>
          <w:szCs w:val="24"/>
          <w:rtl/>
        </w:rPr>
        <w:t>ה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25"/>
      </w:r>
      <w:r w:rsidRPr="00067504">
        <w:rPr>
          <w:rFonts w:ascii="David" w:hAnsi="David" w:cs="David" w:hint="cs"/>
          <w:b/>
          <w:sz w:val="24"/>
          <w:szCs w:val="24"/>
          <w:rtl/>
        </w:rPr>
        <w:t>".</w:t>
      </w:r>
    </w:p>
    <w:p w14:paraId="68CAABE3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אפשרות שלישית היא פשוט 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שזו </w:t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r w:rsidRPr="00067504">
        <w:rPr>
          <w:rFonts w:ascii="David" w:hAnsi="David" w:cs="David"/>
          <w:b/>
          <w:sz w:val="24"/>
          <w:szCs w:val="24"/>
          <w:rtl/>
        </w:rPr>
        <w:t>צורת שחיטה פסולה</w:t>
      </w:r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כמו דרסה וחלדה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".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הרב וסרמן מוכיח שהאפשרות השלישית היא הנכונה ולא הראשונה. בין השאר ראיה לדבר מסוגייתנו: </w:t>
      </w:r>
      <w:r w:rsidRPr="00067504">
        <w:rPr>
          <w:rFonts w:asciiTheme="majorBidi" w:hAnsiTheme="majorBidi" w:cs="Times New Roman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="Times New Roman"/>
          <w:b/>
          <w:sz w:val="24"/>
          <w:szCs w:val="24"/>
          <w:rtl/>
        </w:rPr>
        <w:t xml:space="preserve"> </w:t>
      </w:r>
    </w:p>
    <w:p w14:paraId="4231125C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="David" w:hAnsi="David" w:cs="David"/>
          <w:b/>
          <w:sz w:val="24"/>
          <w:szCs w:val="24"/>
          <w:rtl/>
        </w:rPr>
        <w:lastRenderedPageBreak/>
        <w:t xml:space="preserve">"בעי רב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הונא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בריה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דרב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נתן: שהה במיעוט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סימנין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>, מהו? תיקו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26"/>
      </w:r>
      <w:r w:rsidRPr="00067504">
        <w:rPr>
          <w:rFonts w:ascii="David" w:hAnsi="David" w:cs="David"/>
          <w:b/>
          <w:sz w:val="24"/>
          <w:szCs w:val="24"/>
          <w:rtl/>
        </w:rPr>
        <w:t>".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מבאר רש"י:</w:t>
      </w:r>
    </w:p>
    <w:p w14:paraId="6F9A26AA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מי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אמרינן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כיון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דעבד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ליה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רובא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אתכשר</w:t>
      </w:r>
      <w:proofErr w:type="spellEnd"/>
      <w:r w:rsidRPr="00067504">
        <w:rPr>
          <w:rFonts w:ascii="David" w:hAnsi="David" w:cs="David" w:hint="cs"/>
          <w:b/>
          <w:sz w:val="24"/>
          <w:szCs w:val="24"/>
          <w:rtl/>
        </w:rPr>
        <w:t>,</w:t>
      </w:r>
      <w:r w:rsidRPr="00067504">
        <w:rPr>
          <w:rFonts w:ascii="David" w:hAnsi="David" w:cs="David"/>
          <w:b/>
          <w:sz w:val="24"/>
          <w:szCs w:val="24"/>
          <w:rtl/>
        </w:rPr>
        <w:t xml:space="preserve"> או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דלמא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כיון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דהדר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וגמרה כולה </w:t>
      </w:r>
      <w:proofErr w:type="spellStart"/>
      <w:r w:rsidRPr="00067504">
        <w:rPr>
          <w:rFonts w:ascii="David" w:hAnsi="David" w:cs="David"/>
          <w:b/>
          <w:sz w:val="24"/>
          <w:szCs w:val="24"/>
          <w:rtl/>
        </w:rPr>
        <w:t>חדא</w:t>
      </w:r>
      <w:proofErr w:type="spellEnd"/>
      <w:r w:rsidRPr="00067504">
        <w:rPr>
          <w:rFonts w:ascii="David" w:hAnsi="David" w:cs="David"/>
          <w:b/>
          <w:sz w:val="24"/>
          <w:szCs w:val="24"/>
          <w:rtl/>
        </w:rPr>
        <w:t xml:space="preserve"> שחיטה היא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27"/>
      </w:r>
      <w:r w:rsidRPr="00067504">
        <w:rPr>
          <w:rFonts w:ascii="David" w:hAnsi="David" w:cs="David" w:hint="cs"/>
          <w:b/>
          <w:sz w:val="24"/>
          <w:szCs w:val="24"/>
          <w:rtl/>
        </w:rPr>
        <w:t>"</w:t>
      </w:r>
      <w:r w:rsidRPr="00067504">
        <w:rPr>
          <w:rFonts w:ascii="David" w:hAnsi="David" w:cs="David"/>
          <w:b/>
          <w:sz w:val="24"/>
          <w:szCs w:val="24"/>
          <w:rtl/>
        </w:rPr>
        <w:t>.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אם כבר שחט רוב שני סימנים, השחיטה כבר כשרה, ומה צורך לנו בהמשך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28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? על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כרחך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הפסול הוא בצורת השחיטה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29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07CA4065" w14:textId="77777777" w:rsidR="00A25B02" w:rsidRPr="00067504" w:rsidRDefault="00A25B02" w:rsidP="00A25B02">
      <w:pPr>
        <w:pStyle w:val="a6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הטעם שהדם נבלע באיברים עלול להביא לקולות. בעיה של דם ניתן לפתור על ידי מליחה או צליה. כמו כן, ניתן יהיה להכשיר בני מעיים שאינם מחזיקים דם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30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.  אם יתערבב כזית שחוטה שהויה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בכזית</w:t>
      </w:r>
      <w:proofErr w:type="spellEnd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 נבלה, עם עוד חמישים ותשעה זיתים כשרים, אם האיסור הוא דם ולא נבלה, האיסורים יצטרפו לבטל זה את זה. כמו כן, לאחר בישול, איסור הדם הוא מדרבנן וניתן להקל בספקו</w:t>
      </w:r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31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. כל ההיתרים אלו אינם נראים לאחרונים. גם את ההסבר של 'ושחט' ולא שתי שחיטות דוחה הפרי מגדים, בטענה שלמעט פסול דרוסה, כל הלכות שחיטה הן הלכה למשה מסיני, </w:t>
      </w:r>
      <w:r w:rsidRPr="00067504">
        <w:rPr>
          <w:rFonts w:asciiTheme="majorBidi" w:hAnsiTheme="majorBidi" w:cs="Times New Roman" w:hint="cs"/>
          <w:b/>
          <w:sz w:val="24"/>
          <w:szCs w:val="24"/>
          <w:rtl/>
        </w:rPr>
        <w:t>ולפיכך הן "</w:t>
      </w:r>
      <w:r w:rsidRPr="00067504">
        <w:rPr>
          <w:rFonts w:ascii="David" w:hAnsi="David" w:cs="David"/>
          <w:b/>
          <w:sz w:val="24"/>
          <w:szCs w:val="24"/>
          <w:rtl/>
        </w:rPr>
        <w:t>גזירת המלך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". 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 xml:space="preserve">כן כבר הובא בשם </w:t>
      </w:r>
      <w:proofErr w:type="spellStart"/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הרז"ה</w:t>
      </w:r>
      <w:proofErr w:type="spellEnd"/>
      <w:r w:rsidRPr="00067504">
        <w:rPr>
          <w:rStyle w:val="a5"/>
          <w:rFonts w:asciiTheme="majorBidi" w:hAnsiTheme="majorBidi" w:cstheme="majorBidi"/>
          <w:b/>
          <w:sz w:val="24"/>
          <w:szCs w:val="24"/>
          <w:rtl/>
        </w:rPr>
        <w:footnoteReference w:id="32"/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7515273F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</w:p>
    <w:p w14:paraId="478FA3CE" w14:textId="77777777" w:rsidR="00A25B02" w:rsidRPr="00067504" w:rsidRDefault="00A25B02" w:rsidP="00A25B0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David" w:hAnsi="David" w:cs="David"/>
          <w:bCs/>
          <w:sz w:val="24"/>
          <w:szCs w:val="24"/>
          <w:rtl/>
        </w:rPr>
      </w:pPr>
      <w:r w:rsidRPr="00067504">
        <w:rPr>
          <w:rFonts w:ascii="David" w:hAnsi="David" w:cs="David" w:hint="cs"/>
          <w:bCs/>
          <w:sz w:val="24"/>
          <w:szCs w:val="24"/>
          <w:rtl/>
        </w:rPr>
        <w:t>חשש שהייה בגלל עייפות</w:t>
      </w:r>
    </w:p>
    <w:p w14:paraId="6C8C02DB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t>הגורם לשהייה ה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ו</w:t>
      </w:r>
      <w:r w:rsidRPr="00067504">
        <w:rPr>
          <w:rFonts w:asciiTheme="majorBidi" w:hAnsiTheme="majorBidi" w:cstheme="majorBidi"/>
          <w:b/>
          <w:sz w:val="24"/>
          <w:szCs w:val="24"/>
          <w:rtl/>
        </w:rPr>
        <w:t>א עייפות, ככתוב במשנה</w:t>
      </w:r>
      <w:r w:rsidRPr="00067504">
        <w:rPr>
          <w:rFonts w:ascii="David" w:hAnsi="David" w:cs="David" w:hint="cs"/>
          <w:b/>
          <w:sz w:val="24"/>
          <w:szCs w:val="24"/>
          <w:rtl/>
        </w:rPr>
        <w:t>: השחיז סכין ועף</w:t>
      </w:r>
      <w:r w:rsidRPr="00067504">
        <w:rPr>
          <w:rStyle w:val="a5"/>
          <w:rFonts w:ascii="David" w:hAnsi="David" w:cs="David"/>
          <w:b/>
          <w:sz w:val="24"/>
          <w:szCs w:val="24"/>
          <w:rtl/>
        </w:rPr>
        <w:footnoteReference w:id="33"/>
      </w:r>
      <w:r w:rsidRPr="00067504">
        <w:rPr>
          <w:rFonts w:ascii="David" w:hAnsi="David" w:cs="David" w:hint="cs"/>
          <w:b/>
          <w:sz w:val="24"/>
          <w:szCs w:val="24"/>
          <w:rtl/>
        </w:rPr>
        <w:t>".</w:t>
      </w:r>
    </w:p>
    <w:p w14:paraId="52567069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Theme="majorBidi" w:hAnsiTheme="majorBidi" w:cstheme="majorBidi"/>
          <w:b/>
          <w:sz w:val="24"/>
          <w:szCs w:val="24"/>
          <w:rtl/>
        </w:rPr>
        <w:t>השוחט עזריאל דוכין פנה לרב קוק</w:t>
      </w:r>
      <w:r w:rsidRPr="00067504">
        <w:rPr>
          <w:rFonts w:asciiTheme="majorBidi" w:hAnsiTheme="majorBidi" w:cstheme="majorBidi" w:hint="cs"/>
          <w:b/>
          <w:sz w:val="24"/>
          <w:szCs w:val="24"/>
          <w:rtl/>
        </w:rPr>
        <w:t>: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 </w:t>
      </w:r>
    </w:p>
    <w:p w14:paraId="592358D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b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נמצאים אנשים המרננים במקומו, </w:t>
      </w:r>
      <w:r w:rsidRPr="00067504"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/>
          <w:sz w:val="24"/>
          <w:szCs w:val="24"/>
          <w:rtl/>
        </w:rPr>
        <w:t>ע</w:t>
      </w:r>
      <w:r w:rsidRPr="00067504">
        <w:rPr>
          <w:rFonts w:ascii="David" w:hAnsi="David" w:cs="David" w:hint="cs"/>
          <w:sz w:val="24"/>
          <w:szCs w:val="24"/>
          <w:rtl/>
        </w:rPr>
        <w:t>ל דבר</w:t>
      </w:r>
      <w:r w:rsidRPr="00067504">
        <w:rPr>
          <w:rFonts w:ascii="David" w:hAnsi="David" w:cs="David"/>
          <w:sz w:val="24"/>
          <w:szCs w:val="24"/>
          <w:rtl/>
        </w:rPr>
        <w:t xml:space="preserve"> מה ש</w:t>
      </w:r>
      <w:r w:rsidRPr="00067504">
        <w:rPr>
          <w:rFonts w:ascii="David" w:hAnsi="David" w:cs="David" w:hint="cs"/>
          <w:sz w:val="24"/>
          <w:szCs w:val="24"/>
          <w:rtl/>
        </w:rPr>
        <w:t>..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sz w:val="24"/>
          <w:szCs w:val="24"/>
          <w:rtl/>
        </w:rPr>
        <w:t xml:space="preserve">עוסק במכירת בשר וקיצובו, ואומרים שזה הוי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גריעותא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השחיטה מפני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העיפות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שמתיגע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ע"י עבודתו, ולא יוכל להרגיש כראוי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067504">
        <w:rPr>
          <w:rFonts w:ascii="David" w:hAnsi="David" w:cs="David" w:hint="cs"/>
          <w:b/>
          <w:sz w:val="24"/>
          <w:szCs w:val="24"/>
          <w:rtl/>
        </w:rPr>
        <w:t xml:space="preserve">. </w:t>
      </w:r>
    </w:p>
    <w:p w14:paraId="3C1505A1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="Times New Roman" w:hAnsi="Times New Roman" w:cs="Times New Roman" w:hint="cs"/>
          <w:b/>
          <w:sz w:val="24"/>
          <w:szCs w:val="24"/>
          <w:rtl/>
        </w:rPr>
        <w:t>הרב קוק פתח בהדרכה כללית</w:t>
      </w:r>
      <w:r w:rsidRPr="00067504">
        <w:rPr>
          <w:rStyle w:val="a5"/>
          <w:rFonts w:ascii="Times New Roman" w:hAnsi="Times New Roman" w:cs="Times New Roman"/>
          <w:b/>
          <w:sz w:val="24"/>
          <w:szCs w:val="24"/>
          <w:rtl/>
        </w:rPr>
        <w:footnoteReference w:id="34"/>
      </w:r>
      <w:r w:rsidRPr="00067504">
        <w:rPr>
          <w:rFonts w:ascii="Times New Roman" w:hAnsi="Times New Roman" w:cs="Times New Roman" w:hint="cs"/>
          <w:b/>
          <w:sz w:val="24"/>
          <w:szCs w:val="24"/>
          <w:rtl/>
        </w:rPr>
        <w:t xml:space="preserve">: </w:t>
      </w:r>
    </w:p>
    <w:p w14:paraId="0D85C82F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sz w:val="24"/>
          <w:szCs w:val="24"/>
          <w:rtl/>
        </w:rPr>
        <w:t>בודאי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שכל שו"ב צריך הוא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להזהר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מאד, שבשעה שהוא בא לעסוק בשחיטה, ובבדיקת הסכין ביחוד, לא ירגיש בעצמו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עיפות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כלל, ואם הוא עסוק במלאכה כבדה צריך ודאי שינוח מעט לפי מצבו בבריאות, עד שירגיש בעצמו שהוא מלא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בכחו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ואינו מרגיש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עיפות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בגופו ובידיו, ואז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יגש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לבדיקת הסכין ולשחיטה</w:t>
      </w:r>
      <w:r w:rsidRPr="0006750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605D6C9E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אולם ברור שאין לחשוד בשוחט שיכשל בשהייה מפני עייפות: </w:t>
      </w:r>
    </w:p>
    <w:p w14:paraId="7B1CD66A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t xml:space="preserve">מ"מ כל שו"ב מומחה הוא נאמן שיעשה כדין תורה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וינפש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מעבודתו אם היא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מיגעת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, קודם שיבוא לעסוק בשחיטה, ויש לו ע"ז נאמנות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בודאי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. </w:t>
      </w:r>
    </w:p>
    <w:p w14:paraId="1C5AABBA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כעד אחד הנאמן באיסורים, בדבר שבידו, שהרי הוא יכול לנוח. </w:t>
      </w:r>
    </w:p>
    <w:p w14:paraId="5D7AC4E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7504">
        <w:rPr>
          <w:rFonts w:ascii="David" w:hAnsi="David" w:cs="David"/>
          <w:sz w:val="24"/>
          <w:szCs w:val="24"/>
          <w:rtl/>
        </w:rPr>
        <w:lastRenderedPageBreak/>
        <w:t xml:space="preserve">ומה שעוסק במלאכה שיש בה טורח אין זה שום גרעון,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דאטו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נמסרה שחיטה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לבטלנים, שאינם יגעים בשום דבר</w:t>
      </w:r>
      <w:r w:rsidRPr="00067504">
        <w:rPr>
          <w:rFonts w:ascii="David" w:hAnsi="David" w:cs="David" w:hint="cs"/>
          <w:sz w:val="24"/>
          <w:szCs w:val="24"/>
          <w:rtl/>
        </w:rPr>
        <w:t xml:space="preserve">?... </w:t>
      </w:r>
      <w:r w:rsidRPr="00067504">
        <w:rPr>
          <w:rFonts w:ascii="David" w:hAnsi="David" w:cs="David"/>
          <w:sz w:val="24"/>
          <w:szCs w:val="24"/>
          <w:rtl/>
        </w:rPr>
        <w:t xml:space="preserve">אין חשש מצד עצם עסק העבודה כלל, רק הדבר תלוי שיהי'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השו"ב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ירא שמים, וידע את חובתו לנוח לפי צרכו קודם בדיקת הסכין והשחיטה, באופן שלא ירגיש עוד </w:t>
      </w:r>
      <w:proofErr w:type="spellStart"/>
      <w:r w:rsidRPr="00067504">
        <w:rPr>
          <w:rFonts w:ascii="David" w:hAnsi="David" w:cs="David"/>
          <w:sz w:val="24"/>
          <w:szCs w:val="24"/>
          <w:rtl/>
        </w:rPr>
        <w:t>עיפות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>, ויהי' מוכן להרגשה.</w:t>
      </w:r>
      <w:r w:rsidRPr="0006750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9E1A771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ראיה מפתיעה הוא מביא מן הפסוקים הבאים: </w:t>
      </w:r>
    </w:p>
    <w:p w14:paraId="70E170BD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 w:hint="cs"/>
          <w:sz w:val="24"/>
          <w:szCs w:val="24"/>
          <w:rtl/>
        </w:rPr>
        <w:t>"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(לא) וַיַּכּוּ בַּיּוֹם הַהוּא בַּפְּלִשְׁתִּים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מִמִּכְמָש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>ׂ אַיָּלֹנָה וַיָּעַף הָעָם מְאֹד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13AF08EF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(לב) ויעש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וַיַּעַט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הָעָם אֶל הַשָּׁלָל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וַיִּקְחו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>ּ צֹאן וּבָקָר וּבְנֵי בָקָר וַיִּשְׁחֲטוּ אָרְצָה וַיֹּאכַל הָעָם עַל הַדָּם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3CF67F7B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(לג) וַיַּגִּידוּ לְשָׁאוּל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לֵאמֹר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 xml:space="preserve"> הִנֵּה הָעָם חֹטִאים לַה' לֶאֱכֹל עַל הַדָּם וַיֹּאמֶר בְּגַדְתֶּם גֹּלּוּ אֵלַי הַיּוֹם אֶבֶן גְּדוֹלָה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57857689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/>
          <w:sz w:val="24"/>
          <w:szCs w:val="24"/>
          <w:rtl/>
        </w:rPr>
        <w:t xml:space="preserve">(לד) וַיֹּאמֶר שָׁאוּל פֻּצוּ בָעָם וַאֲמַרְתֶּם לָהֶם הַגִּישׁוּ אֵלַי אִישׁ שׁוֹרוֹ וְאִישׁ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שְׂיֵהו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>ּ וּשְׁחַטְתֶּם בָּזֶה</w:t>
      </w:r>
      <w:r w:rsidRPr="00067504">
        <w:rPr>
          <w:rStyle w:val="a5"/>
          <w:rFonts w:asciiTheme="majorBidi" w:hAnsiTheme="majorBidi" w:cs="Times New Roman"/>
          <w:sz w:val="24"/>
          <w:szCs w:val="24"/>
          <w:rtl/>
        </w:rPr>
        <w:footnoteReference w:id="35"/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וַאֲכַלְתֶּם וְלֹא תֶחֶטְאוּ לַה' לֶאֱכֹל אֶל הַדָּם </w:t>
      </w:r>
      <w:proofErr w:type="spellStart"/>
      <w:r w:rsidRPr="00067504">
        <w:rPr>
          <w:rFonts w:asciiTheme="majorBidi" w:hAnsiTheme="majorBidi" w:cs="Times New Roman"/>
          <w:sz w:val="24"/>
          <w:szCs w:val="24"/>
          <w:rtl/>
        </w:rPr>
        <w:t>וַיַּגִּשׁו</w:t>
      </w:r>
      <w:proofErr w:type="spellEnd"/>
      <w:r w:rsidRPr="00067504">
        <w:rPr>
          <w:rFonts w:asciiTheme="majorBidi" w:hAnsiTheme="majorBidi" w:cs="Times New Roman"/>
          <w:sz w:val="24"/>
          <w:szCs w:val="24"/>
          <w:rtl/>
        </w:rPr>
        <w:t>ּ כָל הָעָם אִישׁ שׁוֹרוֹ בְיָדוֹ הַלַּיְלָה וַיִּשְׁחֲטוּ שָׁם</w:t>
      </w:r>
      <w:r w:rsidRPr="00067504">
        <w:rPr>
          <w:rStyle w:val="a5"/>
          <w:rFonts w:asciiTheme="majorBidi" w:hAnsiTheme="majorBidi" w:cs="Times New Roman"/>
          <w:sz w:val="24"/>
          <w:szCs w:val="24"/>
          <w:rtl/>
        </w:rPr>
        <w:footnoteReference w:id="36"/>
      </w:r>
      <w:r w:rsidRPr="00067504">
        <w:rPr>
          <w:rFonts w:asciiTheme="majorBidi" w:hAnsiTheme="majorBidi" w:cs="Times New Roman" w:hint="cs"/>
          <w:sz w:val="24"/>
          <w:szCs w:val="24"/>
          <w:rtl/>
        </w:rPr>
        <w:t>.</w:t>
      </w:r>
      <w:r w:rsidRPr="0006750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36215257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067504">
        <w:rPr>
          <w:rFonts w:asciiTheme="majorBidi" w:hAnsiTheme="majorBidi" w:cs="Times New Roman" w:hint="cs"/>
          <w:sz w:val="24"/>
          <w:szCs w:val="24"/>
          <w:rtl/>
        </w:rPr>
        <w:t xml:space="preserve">מסיק הרב קוק: </w:t>
      </w:r>
    </w:p>
    <w:p w14:paraId="3760B503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067504">
        <w:rPr>
          <w:rFonts w:ascii="David" w:hAnsi="David" w:cs="David"/>
          <w:sz w:val="24"/>
          <w:szCs w:val="24"/>
          <w:rtl/>
        </w:rPr>
        <w:t>בודאי</w:t>
      </w:r>
      <w:proofErr w:type="spellEnd"/>
      <w:r w:rsidRPr="00067504">
        <w:rPr>
          <w:rFonts w:ascii="David" w:hAnsi="David" w:cs="David"/>
          <w:sz w:val="24"/>
          <w:szCs w:val="24"/>
          <w:rtl/>
        </w:rPr>
        <w:t xml:space="preserve"> אפילו שאול הי' ג"כ עסוק הרבה ביגיעת המלחמה וטורח הצום, ומ</w:t>
      </w:r>
      <w:r w:rsidRPr="00067504">
        <w:rPr>
          <w:rFonts w:ascii="David" w:hAnsi="David" w:cs="David" w:hint="cs"/>
          <w:sz w:val="24"/>
          <w:szCs w:val="24"/>
          <w:rtl/>
        </w:rPr>
        <w:t>כל מקום</w:t>
      </w:r>
      <w:r w:rsidRPr="00067504">
        <w:rPr>
          <w:rFonts w:ascii="David" w:hAnsi="David" w:cs="David"/>
          <w:sz w:val="24"/>
          <w:szCs w:val="24"/>
          <w:rtl/>
        </w:rPr>
        <w:t xml:space="preserve"> שחטו, א</w:t>
      </w:r>
      <w:r w:rsidRPr="00067504">
        <w:rPr>
          <w:rFonts w:ascii="David" w:hAnsi="David" w:cs="David" w:hint="cs"/>
          <w:sz w:val="24"/>
          <w:szCs w:val="24"/>
          <w:rtl/>
        </w:rPr>
        <w:t>לא וודאי</w:t>
      </w:r>
      <w:r w:rsidRPr="00067504">
        <w:rPr>
          <w:rFonts w:ascii="David" w:hAnsi="David" w:cs="David"/>
          <w:sz w:val="24"/>
          <w:szCs w:val="24"/>
          <w:rtl/>
        </w:rPr>
        <w:t xml:space="preserve">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שנחו כדבעי לפי ערכם ואז שחטו</w:t>
      </w:r>
      <w:r w:rsidRPr="00067504">
        <w:rPr>
          <w:rFonts w:ascii="David" w:hAnsi="David" w:cs="David"/>
          <w:sz w:val="24"/>
          <w:szCs w:val="24"/>
          <w:rtl/>
        </w:rPr>
        <w:t xml:space="preserve">. </w:t>
      </w:r>
    </w:p>
    <w:p w14:paraId="140D1307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גם בדרכי תשובה פסק שאפילו עייפות האסורה לכתחילה, איננה פוסלת בדיעבד: </w:t>
      </w:r>
    </w:p>
    <w:p w14:paraId="549FAC56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67504">
        <w:rPr>
          <w:rFonts w:ascii="David" w:hAnsi="David" w:cs="David" w:hint="cs"/>
          <w:sz w:val="24"/>
          <w:szCs w:val="24"/>
          <w:rtl/>
        </w:rPr>
        <w:t xml:space="preserve">אסור לשחוט עוף גדול כמו אינדיק או אווז, לאחוז בידו אחת ולשחוט בידו השנית כמנהג בעופות הקטנים, מפני שמכביד על היד </w:t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>וגורם עייפות ובא לידי דרסה ושהייה</w:t>
      </w:r>
      <w:r w:rsidRPr="00067504">
        <w:rPr>
          <w:rFonts w:ascii="David" w:hAnsi="David" w:cs="David" w:hint="cs"/>
          <w:sz w:val="24"/>
          <w:szCs w:val="24"/>
          <w:rtl/>
        </w:rPr>
        <w:t>.</w:t>
      </w:r>
      <w:r w:rsidRPr="0006750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67504">
        <w:rPr>
          <w:rFonts w:ascii="David" w:hAnsi="David" w:cs="David" w:hint="cs"/>
          <w:sz w:val="24"/>
          <w:szCs w:val="24"/>
          <w:rtl/>
        </w:rPr>
        <w:t xml:space="preserve">אלא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דלפחות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צריך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לאוחזן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בין ברכיו ולתפוס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הצואר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היטב בידו אחת ולשחוט בידו השנית, </w:t>
      </w:r>
      <w:proofErr w:type="spellStart"/>
      <w:r w:rsidRPr="00067504">
        <w:rPr>
          <w:rFonts w:ascii="David" w:hAnsi="David" w:cs="David" w:hint="cs"/>
          <w:sz w:val="24"/>
          <w:szCs w:val="24"/>
          <w:rtl/>
        </w:rPr>
        <w:t>דבזה</w:t>
      </w:r>
      <w:proofErr w:type="spellEnd"/>
      <w:r w:rsidRPr="00067504">
        <w:rPr>
          <w:rFonts w:ascii="David" w:hAnsi="David" w:cs="David" w:hint="cs"/>
          <w:sz w:val="24"/>
          <w:szCs w:val="24"/>
          <w:rtl/>
        </w:rPr>
        <w:t xml:space="preserve"> וודאי לא יבוא לידי דרסה. ואם אפשר על ידי סיוע אחר שהאחר יאחז האווז או האינדיק </w:t>
      </w:r>
      <w:r w:rsidRPr="00067504">
        <w:rPr>
          <w:rFonts w:ascii="David" w:hAnsi="David" w:cs="David"/>
          <w:sz w:val="24"/>
          <w:szCs w:val="24"/>
          <w:rtl/>
        </w:rPr>
        <w:t>–</w:t>
      </w:r>
      <w:r w:rsidRPr="00067504">
        <w:rPr>
          <w:rFonts w:ascii="David" w:hAnsi="David" w:cs="David" w:hint="cs"/>
          <w:sz w:val="24"/>
          <w:szCs w:val="24"/>
          <w:rtl/>
        </w:rPr>
        <w:t xml:space="preserve"> מה טוב.</w:t>
      </w:r>
    </w:p>
    <w:p w14:paraId="0CA3534F" w14:textId="77777777" w:rsidR="00A25B02" w:rsidRPr="00067504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  <w:r w:rsidRPr="00067504">
        <w:rPr>
          <w:rFonts w:ascii="David" w:hAnsi="David" w:cs="David" w:hint="cs"/>
          <w:b/>
          <w:bCs/>
          <w:sz w:val="24"/>
          <w:szCs w:val="24"/>
          <w:rtl/>
        </w:rPr>
        <w:t xml:space="preserve">ומכל מקום בדיעבד כשאומר ברי לי שלא דרסתי </w:t>
      </w:r>
      <w:r w:rsidRPr="00067504">
        <w:rPr>
          <w:rFonts w:ascii="David" w:hAnsi="David" w:cs="David"/>
          <w:b/>
          <w:bCs/>
          <w:sz w:val="24"/>
          <w:szCs w:val="24"/>
          <w:rtl/>
        </w:rPr>
        <w:t>–</w:t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 xml:space="preserve"> יש להכשיר</w:t>
      </w:r>
      <w:r w:rsidRPr="00067504">
        <w:rPr>
          <w:rStyle w:val="a5"/>
          <w:rFonts w:ascii="David" w:hAnsi="David" w:cs="David"/>
          <w:b/>
          <w:bCs/>
          <w:sz w:val="24"/>
          <w:szCs w:val="24"/>
          <w:rtl/>
        </w:rPr>
        <w:footnoteReference w:id="37"/>
      </w:r>
      <w:r w:rsidRPr="0006750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0BFBF09" w14:textId="77777777" w:rsidR="00A25B02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14:paraId="004C4573" w14:textId="77777777" w:rsidR="00A25B02" w:rsidRDefault="00A25B02" w:rsidP="00A25B02">
      <w:pPr>
        <w:autoSpaceDE w:val="0"/>
        <w:autoSpaceDN w:val="0"/>
        <w:adjustRightInd w:val="0"/>
        <w:spacing w:after="0"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  <w:r w:rsidRPr="006F3DAB">
        <w:rPr>
          <w:rFonts w:ascii="David" w:hAnsi="David" w:cs="David"/>
          <w:b/>
          <w:bCs/>
          <w:sz w:val="24"/>
          <w:szCs w:val="24"/>
          <w:rtl/>
        </w:rPr>
        <w:lastRenderedPageBreak/>
        <w:drawing>
          <wp:inline distT="0" distB="0" distL="0" distR="0" wp14:anchorId="249A680E" wp14:editId="5296AEDC">
            <wp:extent cx="3924848" cy="6087325"/>
            <wp:effectExtent l="0" t="0" r="0" b="889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EC97" w14:textId="77777777" w:rsidR="002A32D5" w:rsidRDefault="002A32D5"/>
    <w:sectPr w:rsidR="002A32D5" w:rsidSect="00E11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F124" w14:textId="77777777" w:rsidR="001A411B" w:rsidRDefault="001A411B" w:rsidP="00A25B02">
      <w:pPr>
        <w:spacing w:after="0" w:line="240" w:lineRule="auto"/>
      </w:pPr>
      <w:r>
        <w:separator/>
      </w:r>
    </w:p>
  </w:endnote>
  <w:endnote w:type="continuationSeparator" w:id="0">
    <w:p w14:paraId="5FD916C9" w14:textId="77777777" w:rsidR="001A411B" w:rsidRDefault="001A411B" w:rsidP="00A2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CE63" w14:textId="77777777" w:rsidR="001A411B" w:rsidRDefault="001A411B" w:rsidP="00A25B02">
      <w:pPr>
        <w:spacing w:after="0" w:line="240" w:lineRule="auto"/>
      </w:pPr>
      <w:r>
        <w:separator/>
      </w:r>
    </w:p>
  </w:footnote>
  <w:footnote w:type="continuationSeparator" w:id="0">
    <w:p w14:paraId="5F15BC13" w14:textId="77777777" w:rsidR="001A411B" w:rsidRDefault="001A411B" w:rsidP="00A25B02">
      <w:pPr>
        <w:spacing w:after="0" w:line="240" w:lineRule="auto"/>
      </w:pPr>
      <w:r>
        <w:continuationSeparator/>
      </w:r>
    </w:p>
  </w:footnote>
  <w:footnote w:id="1">
    <w:p w14:paraId="79BF1C96" w14:textId="77777777" w:rsidR="00A25B02" w:rsidRPr="003D63B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  <w:rtl/>
        </w:rPr>
      </w:pP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שיח שרפי קודש חלק ב אות מ. תודה לרב עזריה אריאל</w:t>
      </w:r>
      <w:r>
        <w:rPr>
          <w:rFonts w:asciiTheme="majorBidi" w:hAnsiTheme="majorBidi" w:cstheme="majorBidi"/>
          <w:b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ששלח לי סיפור זה.</w:t>
      </w:r>
    </w:p>
  </w:footnote>
  <w:footnote w:id="2">
    <w:p w14:paraId="33B8B18F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ר"ן ומאירי.</w:t>
      </w:r>
    </w:p>
  </w:footnote>
  <w:footnote w:id="3">
    <w:p w14:paraId="4F809995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>משמע ב</w:t>
      </w:r>
      <w:r w:rsidRPr="003D63B6">
        <w:rPr>
          <w:rFonts w:asciiTheme="majorBidi" w:hAnsiTheme="majorBidi" w:cstheme="majorBidi"/>
          <w:rtl/>
        </w:rPr>
        <w:t>רש"י</w:t>
      </w:r>
      <w:r>
        <w:rPr>
          <w:rFonts w:asciiTheme="majorBidi" w:hAnsiTheme="majorBidi" w:cstheme="majorBidi" w:hint="cs"/>
          <w:rtl/>
        </w:rPr>
        <w:t xml:space="preserve"> ד"ה ועף</w:t>
      </w:r>
      <w:r w:rsidRPr="003D63B6">
        <w:rPr>
          <w:rFonts w:asciiTheme="majorBidi" w:hAnsiTheme="majorBidi" w:cstheme="majorBidi"/>
          <w:rtl/>
        </w:rPr>
        <w:t>.</w:t>
      </w:r>
    </w:p>
  </w:footnote>
  <w:footnote w:id="4">
    <w:p w14:paraId="1390D2C8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הרא"ה מפרש להיפך: רבי חנינא חולק על רב, ודווקא שמואל ורבי יוחנן מסכימים איתו ולפיכך הלכה כמותו.</w:t>
      </w:r>
    </w:p>
  </w:footnote>
  <w:footnote w:id="5">
    <w:p w14:paraId="35F2FA7B" w14:textId="77777777" w:rsidR="00A25B02" w:rsidRPr="003D63B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</w:rPr>
      </w:pP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לב</w:t>
      </w:r>
      <w:r>
        <w:rPr>
          <w:rFonts w:asciiTheme="majorBidi" w:hAnsiTheme="majorBidi" w:cstheme="majorBidi" w:hint="cs"/>
          <w:b/>
          <w:sz w:val="20"/>
          <w:szCs w:val="20"/>
          <w:rtl/>
        </w:rPr>
        <w:t xml:space="preserve">,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א ד"ה דקה לדקה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.</w:t>
      </w:r>
    </w:p>
  </w:footnote>
  <w:footnote w:id="6">
    <w:p w14:paraId="45800086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תוספות לב</w:t>
      </w:r>
      <w:r>
        <w:rPr>
          <w:rFonts w:asciiTheme="majorBidi" w:hAnsiTheme="majorBidi" w:cstheme="majorBidi" w:hint="cs"/>
          <w:rtl/>
        </w:rPr>
        <w:t xml:space="preserve">, </w:t>
      </w:r>
      <w:r w:rsidRPr="003D63B6">
        <w:rPr>
          <w:rFonts w:asciiTheme="majorBidi" w:hAnsiTheme="majorBidi" w:cstheme="majorBidi"/>
          <w:rtl/>
        </w:rPr>
        <w:t>א ד"ה ושמואל.</w:t>
      </w:r>
    </w:p>
  </w:footnote>
  <w:footnote w:id="7">
    <w:p w14:paraId="5AA0E53A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 xml:space="preserve">תחילת </w:t>
      </w:r>
      <w:r>
        <w:rPr>
          <w:rFonts w:asciiTheme="majorBidi" w:hAnsiTheme="majorBidi" w:cstheme="majorBidi"/>
          <w:rtl/>
        </w:rPr>
        <w:t>ז</w:t>
      </w:r>
      <w:r>
        <w:rPr>
          <w:rFonts w:asciiTheme="majorBidi" w:hAnsiTheme="majorBidi" w:cstheme="majorBidi" w:hint="cs"/>
          <w:rtl/>
        </w:rPr>
        <w:t xml:space="preserve">, </w:t>
      </w:r>
      <w:r>
        <w:rPr>
          <w:rFonts w:asciiTheme="majorBidi" w:hAnsiTheme="majorBidi" w:cstheme="majorBidi"/>
          <w:rtl/>
        </w:rPr>
        <w:t>ב מדפי</w:t>
      </w:r>
      <w:r>
        <w:rPr>
          <w:rFonts w:asciiTheme="majorBidi" w:hAnsiTheme="majorBidi" w:cstheme="majorBidi" w:hint="cs"/>
          <w:rtl/>
        </w:rPr>
        <w:t xml:space="preserve"> הרי"ף</w:t>
      </w:r>
      <w:r w:rsidRPr="003D63B6">
        <w:rPr>
          <w:rFonts w:asciiTheme="majorBidi" w:hAnsiTheme="majorBidi" w:cstheme="majorBidi"/>
          <w:rtl/>
        </w:rPr>
        <w:t>.</w:t>
      </w:r>
    </w:p>
  </w:footnote>
  <w:footnote w:id="8">
    <w:p w14:paraId="6986C606" w14:textId="77777777" w:rsidR="00A25B02" w:rsidRPr="003D63B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  <w:rtl/>
        </w:rPr>
      </w:pPr>
      <w:r>
        <w:rPr>
          <w:rStyle w:val="a5"/>
          <w:rFonts w:asciiTheme="majorBidi" w:hAnsiTheme="majorBidi" w:cstheme="majorBidi"/>
          <w:sz w:val="20"/>
          <w:szCs w:val="20"/>
        </w:rPr>
        <w:t xml:space="preserve"> </w:t>
      </w: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חידושי הרשב"א לב</w:t>
      </w:r>
      <w:r>
        <w:rPr>
          <w:rFonts w:asciiTheme="majorBidi" w:hAnsiTheme="majorBidi" w:cstheme="majorBidi" w:hint="cs"/>
          <w:b/>
          <w:sz w:val="20"/>
          <w:szCs w:val="20"/>
          <w:rtl/>
        </w:rPr>
        <w:t xml:space="preserve">,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א ד"ה במערבא.</w:t>
      </w:r>
    </w:p>
  </w:footnote>
  <w:footnote w:id="9">
    <w:p w14:paraId="7267B9DB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רא"ה מובא בשיטה מקובצת.</w:t>
      </w:r>
    </w:p>
  </w:footnote>
  <w:footnote w:id="10">
    <w:p w14:paraId="1051F30F" w14:textId="77777777" w:rsidR="00A25B02" w:rsidRPr="003D63B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  <w:rtl/>
        </w:rPr>
      </w:pP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 xml:space="preserve">טור </w:t>
      </w:r>
      <w:r>
        <w:rPr>
          <w:rFonts w:asciiTheme="majorBidi" w:hAnsiTheme="majorBidi" w:cstheme="majorBidi"/>
          <w:b/>
          <w:sz w:val="20"/>
          <w:szCs w:val="20"/>
          <w:rtl/>
        </w:rPr>
        <w:t>יו"ד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 xml:space="preserve"> שחיטה כג.</w:t>
      </w:r>
    </w:p>
  </w:footnote>
  <w:footnote w:id="11">
    <w:p w14:paraId="32E63A87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רא"ש ט.</w:t>
      </w:r>
    </w:p>
  </w:footnote>
  <w:footnote w:id="12">
    <w:p w14:paraId="456009BC" w14:textId="77777777" w:rsidR="00A25B02" w:rsidRPr="003D63B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</w:rPr>
      </w:pP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>פסקי רי"ד מהדורה בתרא לב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,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 xml:space="preserve"> א ד"ה ורבי חנינה.</w:t>
      </w:r>
    </w:p>
  </w:footnote>
  <w:footnote w:id="13">
    <w:p w14:paraId="10625016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שם.</w:t>
      </w:r>
    </w:p>
  </w:footnote>
  <w:footnote w:id="14">
    <w:p w14:paraId="26A706DA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>תחילת ז, ב מדפי הרי"ף.</w:t>
      </w:r>
    </w:p>
  </w:footnote>
  <w:footnote w:id="15">
    <w:p w14:paraId="70BEAF23" w14:textId="77777777" w:rsidR="00A25B02" w:rsidRPr="007B5D90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</w:rPr>
      </w:pPr>
      <w:r w:rsidRPr="003D63B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D63B6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rtl/>
        </w:rPr>
        <w:t>רמב"ם</w:t>
      </w:r>
      <w:r w:rsidRPr="003D63B6">
        <w:rPr>
          <w:rFonts w:asciiTheme="majorBidi" w:hAnsiTheme="majorBidi" w:cstheme="majorBidi"/>
          <w:b/>
          <w:sz w:val="20"/>
          <w:szCs w:val="20"/>
          <w:rtl/>
        </w:rPr>
        <w:t xml:space="preserve"> שחיטה פרק ג הלכה ב.</w:t>
      </w:r>
    </w:p>
  </w:footnote>
  <w:footnote w:id="16">
    <w:p w14:paraId="5E51B8AA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חידושי הר"ן.</w:t>
      </w:r>
    </w:p>
  </w:footnote>
  <w:footnote w:id="17">
    <w:p w14:paraId="002641C8" w14:textId="77777777" w:rsidR="00A25B02" w:rsidRPr="003D63B6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3D63B6">
        <w:rPr>
          <w:rStyle w:val="a5"/>
          <w:rFonts w:asciiTheme="majorBidi" w:hAnsiTheme="majorBidi" w:cstheme="majorBidi"/>
        </w:rPr>
        <w:footnoteRef/>
      </w:r>
      <w:r w:rsidRPr="003D63B6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</w:rPr>
        <w:t>יו"ד</w:t>
      </w:r>
      <w:r w:rsidRPr="003D63B6">
        <w:rPr>
          <w:rFonts w:asciiTheme="majorBidi" w:hAnsiTheme="majorBidi" w:cstheme="majorBidi"/>
          <w:rtl/>
        </w:rPr>
        <w:t xml:space="preserve"> כג אות</w:t>
      </w:r>
      <w:r>
        <w:rPr>
          <w:rFonts w:asciiTheme="majorBidi" w:hAnsiTheme="majorBidi" w:cstheme="majorBidi"/>
          <w:rtl/>
        </w:rPr>
        <w:t xml:space="preserve"> </w:t>
      </w:r>
      <w:r w:rsidRPr="003D63B6">
        <w:rPr>
          <w:rFonts w:asciiTheme="majorBidi" w:hAnsiTheme="majorBidi" w:cstheme="majorBidi"/>
          <w:rtl/>
        </w:rPr>
        <w:t>ב.</w:t>
      </w:r>
    </w:p>
  </w:footnote>
  <w:footnote w:id="18">
    <w:p w14:paraId="56B637F9" w14:textId="77777777" w:rsidR="00A25B02" w:rsidRPr="007B5D90" w:rsidRDefault="00A25B02" w:rsidP="00A25B02">
      <w:pPr>
        <w:pStyle w:val="a3"/>
        <w:rPr>
          <w:rFonts w:asciiTheme="majorBidi" w:hAnsiTheme="majorBidi" w:cstheme="majorBidi"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 xml:space="preserve">נעזרתי </w:t>
      </w:r>
      <w:r>
        <w:rPr>
          <w:rFonts w:asciiTheme="majorBidi" w:hAnsiTheme="majorBidi" w:cstheme="majorBidi" w:hint="cs"/>
          <w:rtl/>
        </w:rPr>
        <w:t>הרבה</w:t>
      </w:r>
      <w:r w:rsidRPr="007B5D90">
        <w:rPr>
          <w:rFonts w:asciiTheme="majorBidi" w:hAnsiTheme="majorBidi" w:cstheme="majorBidi"/>
          <w:rtl/>
        </w:rPr>
        <w:t xml:space="preserve"> בבירור הלכה לב</w:t>
      </w:r>
      <w:r>
        <w:rPr>
          <w:rFonts w:asciiTheme="majorBidi" w:hAnsiTheme="majorBidi" w:cstheme="majorBidi" w:hint="cs"/>
          <w:rtl/>
        </w:rPr>
        <w:t xml:space="preserve">, </w:t>
      </w:r>
      <w:r w:rsidRPr="007B5D90">
        <w:rPr>
          <w:rFonts w:asciiTheme="majorBidi" w:hAnsiTheme="majorBidi" w:cstheme="majorBidi"/>
          <w:rtl/>
        </w:rPr>
        <w:t>א ציון ד.</w:t>
      </w:r>
    </w:p>
  </w:footnote>
  <w:footnote w:id="19">
    <w:p w14:paraId="278E2CA4" w14:textId="77777777" w:rsidR="00A25B02" w:rsidRPr="007B5D90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>ראבי"ה אלף פו.</w:t>
      </w:r>
    </w:p>
  </w:footnote>
  <w:footnote w:id="20">
    <w:p w14:paraId="145367FF" w14:textId="77777777" w:rsidR="00A25B02" w:rsidRPr="007B5D90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b/>
          <w:rtl/>
        </w:rPr>
        <w:t>הרא"ש מעלה אפשרות אחרת</w:t>
      </w:r>
      <w:r>
        <w:rPr>
          <w:rFonts w:asciiTheme="majorBidi" w:hAnsiTheme="majorBidi" w:cstheme="majorBidi" w:hint="cs"/>
          <w:b/>
          <w:rtl/>
        </w:rPr>
        <w:t xml:space="preserve"> בדעת רש"י</w:t>
      </w:r>
      <w:r w:rsidRPr="007B5D90">
        <w:rPr>
          <w:rFonts w:asciiTheme="majorBidi" w:hAnsiTheme="majorBidi" w:cstheme="majorBidi"/>
          <w:b/>
          <w:rtl/>
        </w:rPr>
        <w:t>.</w:t>
      </w:r>
    </w:p>
  </w:footnote>
  <w:footnote w:id="21">
    <w:p w14:paraId="5EC96200" w14:textId="77777777" w:rsidR="00A25B02" w:rsidRPr="007B5D90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>רי"ד.</w:t>
      </w:r>
    </w:p>
  </w:footnote>
  <w:footnote w:id="22">
    <w:p w14:paraId="6EC174F6" w14:textId="77777777" w:rsidR="00A25B02" w:rsidRPr="007B5D90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>יוצא שלדעת הרמב"ן הדברים תואמים לרבי יוסי, ולפי הרא"ש לא.</w:t>
      </w:r>
    </w:p>
  </w:footnote>
  <w:footnote w:id="23">
    <w:p w14:paraId="0EB0EED7" w14:textId="77777777" w:rsidR="00A25B02" w:rsidRPr="007B5D90" w:rsidRDefault="00A25B02" w:rsidP="00A25B02">
      <w:pPr>
        <w:pStyle w:val="a3"/>
        <w:spacing w:line="360" w:lineRule="auto"/>
        <w:rPr>
          <w:rFonts w:asciiTheme="majorBidi" w:hAnsiTheme="majorBidi" w:cstheme="majorBidi"/>
        </w:rPr>
      </w:pPr>
      <w:r w:rsidRPr="007B5D90">
        <w:rPr>
          <w:rStyle w:val="a5"/>
          <w:rFonts w:asciiTheme="majorBidi" w:hAnsiTheme="majorBidi" w:cstheme="majorBidi"/>
        </w:rPr>
        <w:footnoteRef/>
      </w:r>
      <w:r w:rsidRPr="007B5D90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 xml:space="preserve"> </w:t>
      </w:r>
      <w:r w:rsidRPr="007B5D90">
        <w:rPr>
          <w:rFonts w:asciiTheme="majorBidi" w:hAnsiTheme="majorBidi" w:cstheme="majorBidi"/>
          <w:rtl/>
        </w:rPr>
        <w:t>שחיטה פרק ג הלכה ג.</w:t>
      </w:r>
    </w:p>
  </w:footnote>
  <w:footnote w:id="24">
    <w:p w14:paraId="34C7701E" w14:textId="77777777" w:rsidR="00A25B02" w:rsidRPr="0058092A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  <w:rtl/>
        </w:rPr>
      </w:pPr>
      <w:r w:rsidRPr="007B5D90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B5D90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rtl/>
        </w:rPr>
        <w:t>שו"ע</w:t>
      </w:r>
      <w:r w:rsidRPr="007B5D90">
        <w:rPr>
          <w:rFonts w:asciiTheme="majorBidi" w:hAnsiTheme="majorBidi" w:cstheme="majorBidi"/>
          <w:b/>
          <w:sz w:val="20"/>
          <w:szCs w:val="20"/>
          <w:rtl/>
        </w:rPr>
        <w:t xml:space="preserve"> יו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"ד</w:t>
      </w:r>
      <w:r>
        <w:rPr>
          <w:rFonts w:asciiTheme="majorBidi" w:hAnsiTheme="majorBidi" w:cstheme="majorBidi"/>
          <w:b/>
          <w:sz w:val="20"/>
          <w:szCs w:val="20"/>
          <w:rtl/>
        </w:rPr>
        <w:t xml:space="preserve"> </w:t>
      </w:r>
      <w:r w:rsidRPr="007B5D90">
        <w:rPr>
          <w:rFonts w:asciiTheme="majorBidi" w:hAnsiTheme="majorBidi" w:cstheme="majorBidi"/>
          <w:b/>
          <w:sz w:val="20"/>
          <w:szCs w:val="20"/>
          <w:rtl/>
        </w:rPr>
        <w:t>כג</w:t>
      </w:r>
      <w:r>
        <w:rPr>
          <w:rFonts w:asciiTheme="majorBidi" w:hAnsiTheme="majorBidi" w:cstheme="majorBidi" w:hint="cs"/>
          <w:b/>
          <w:sz w:val="20"/>
          <w:szCs w:val="20"/>
          <w:rtl/>
        </w:rPr>
        <w:t xml:space="preserve">, </w:t>
      </w:r>
      <w:r w:rsidRPr="007B5D90">
        <w:rPr>
          <w:rFonts w:asciiTheme="majorBidi" w:hAnsiTheme="majorBidi" w:cstheme="majorBidi"/>
          <w:b/>
          <w:sz w:val="20"/>
          <w:szCs w:val="20"/>
          <w:rtl/>
        </w:rPr>
        <w:t>ב.</w:t>
      </w:r>
    </w:p>
  </w:footnote>
  <w:footnote w:id="25">
    <w:p w14:paraId="622509B6" w14:textId="77777777" w:rsidR="00A25B02" w:rsidRPr="00CC30C1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84096">
        <w:rPr>
          <w:rFonts w:asciiTheme="majorBidi" w:hAnsiTheme="majorBidi" w:cstheme="majorBidi"/>
          <w:b/>
          <w:sz w:val="20"/>
          <w:szCs w:val="20"/>
          <w:rtl/>
        </w:rPr>
        <w:t xml:space="preserve">פרישה </w:t>
      </w:r>
      <w:r>
        <w:rPr>
          <w:rFonts w:asciiTheme="majorBidi" w:hAnsiTheme="majorBidi" w:cstheme="majorBidi"/>
          <w:b/>
          <w:sz w:val="20"/>
          <w:szCs w:val="20"/>
          <w:rtl/>
        </w:rPr>
        <w:t>יו"ד</w:t>
      </w:r>
      <w:r w:rsidRPr="00984096">
        <w:rPr>
          <w:rFonts w:asciiTheme="majorBidi" w:hAnsiTheme="majorBidi" w:cstheme="majorBidi"/>
          <w:b/>
          <w:sz w:val="20"/>
          <w:szCs w:val="20"/>
          <w:rtl/>
        </w:rPr>
        <w:t xml:space="preserve"> כג אות ג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.</w:t>
      </w:r>
    </w:p>
  </w:footnote>
  <w:footnote w:id="26">
    <w:p w14:paraId="41F26AA7" w14:textId="77777777" w:rsidR="00A25B02" w:rsidRDefault="00A25B02" w:rsidP="00A25B02">
      <w:pPr>
        <w:pStyle w:val="a3"/>
        <w:spacing w:line="360" w:lineRule="auto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D12AE">
        <w:rPr>
          <w:rFonts w:asciiTheme="majorBidi" w:hAnsiTheme="majorBidi" w:cs="Times New Roman"/>
          <w:b/>
          <w:rtl/>
        </w:rPr>
        <w:t>ל</w:t>
      </w:r>
      <w:r>
        <w:rPr>
          <w:rFonts w:asciiTheme="majorBidi" w:hAnsiTheme="majorBidi" w:cs="Times New Roman" w:hint="cs"/>
          <w:b/>
          <w:rtl/>
        </w:rPr>
        <w:t>ב, א</w:t>
      </w:r>
      <w:r>
        <w:rPr>
          <w:rFonts w:hint="cs"/>
          <w:rtl/>
        </w:rPr>
        <w:t>.</w:t>
      </w:r>
    </w:p>
  </w:footnote>
  <w:footnote w:id="27">
    <w:p w14:paraId="0BF252DA" w14:textId="77777777" w:rsidR="00A25B02" w:rsidRDefault="00A25B02" w:rsidP="00A25B02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Pr="00CC30C1">
        <w:rPr>
          <w:rFonts w:asciiTheme="majorBidi" w:hAnsiTheme="majorBidi" w:cstheme="majorBidi"/>
          <w:b/>
          <w:rtl/>
        </w:rPr>
        <w:t xml:space="preserve">רש"י </w:t>
      </w:r>
      <w:r w:rsidRPr="009D12AE">
        <w:rPr>
          <w:rFonts w:asciiTheme="majorBidi" w:hAnsiTheme="majorBidi" w:cs="Times New Roman"/>
          <w:b/>
          <w:rtl/>
        </w:rPr>
        <w:t>ל</w:t>
      </w:r>
      <w:r>
        <w:rPr>
          <w:rFonts w:asciiTheme="majorBidi" w:hAnsiTheme="majorBidi" w:cs="Times New Roman" w:hint="cs"/>
          <w:b/>
          <w:rtl/>
        </w:rPr>
        <w:t>ב, א</w:t>
      </w:r>
      <w:r>
        <w:rPr>
          <w:rFonts w:hint="cs"/>
          <w:rtl/>
        </w:rPr>
        <w:t xml:space="preserve">. </w:t>
      </w:r>
      <w:r w:rsidRPr="00CC30C1">
        <w:rPr>
          <w:rFonts w:asciiTheme="majorBidi" w:hAnsiTheme="majorBidi" w:cstheme="majorBidi"/>
          <w:b/>
          <w:rtl/>
        </w:rPr>
        <w:t>ד"ה מהו</w:t>
      </w:r>
      <w:r>
        <w:rPr>
          <w:rFonts w:asciiTheme="majorBidi" w:hAnsiTheme="majorBidi" w:cstheme="majorBidi" w:hint="cs"/>
          <w:b/>
          <w:rtl/>
        </w:rPr>
        <w:t>.</w:t>
      </w:r>
    </w:p>
  </w:footnote>
  <w:footnote w:id="28">
    <w:p w14:paraId="6A6121ED" w14:textId="77777777" w:rsidR="00A25B02" w:rsidRPr="00CC30C1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CC30C1">
        <w:rPr>
          <w:rStyle w:val="a5"/>
          <w:rFonts w:asciiTheme="majorBidi" w:hAnsiTheme="majorBidi" w:cstheme="majorBidi"/>
        </w:rPr>
        <w:footnoteRef/>
      </w:r>
      <w:r w:rsidRPr="00CC30C1">
        <w:rPr>
          <w:rFonts w:asciiTheme="majorBidi" w:hAnsiTheme="majorBidi" w:cstheme="majorBidi"/>
          <w:rtl/>
        </w:rPr>
        <w:t xml:space="preserve"> </w:t>
      </w:r>
      <w:r w:rsidRPr="00CC30C1">
        <w:rPr>
          <w:rFonts w:asciiTheme="majorBidi" w:hAnsiTheme="majorBidi" w:cstheme="majorBidi"/>
          <w:rtl/>
        </w:rPr>
        <w:t>אמנם, רבים חלקו על רש"י בביאור איבעיא זו, ולפיהם אין ראיה. יעויין ב</w:t>
      </w:r>
      <w:r>
        <w:rPr>
          <w:rFonts w:asciiTheme="majorBidi" w:hAnsiTheme="majorBidi" w:cstheme="majorBidi" w:hint="cs"/>
          <w:rtl/>
        </w:rPr>
        <w:t>'</w:t>
      </w:r>
      <w:r w:rsidRPr="00CC30C1">
        <w:rPr>
          <w:rFonts w:asciiTheme="majorBidi" w:hAnsiTheme="majorBidi" w:cstheme="majorBidi"/>
          <w:rtl/>
        </w:rPr>
        <w:t>חברותא' כאן הערה 193, המרכז את השיטות.</w:t>
      </w:r>
    </w:p>
  </w:footnote>
  <w:footnote w:id="29">
    <w:p w14:paraId="2B5F6BCC" w14:textId="77777777" w:rsidR="00A25B02" w:rsidRPr="00CC30C1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CC30C1">
        <w:rPr>
          <w:rStyle w:val="a5"/>
          <w:rFonts w:asciiTheme="majorBidi" w:hAnsiTheme="majorBidi" w:cstheme="majorBidi"/>
        </w:rPr>
        <w:footnoteRef/>
      </w:r>
      <w:r w:rsidRPr="00CC30C1">
        <w:rPr>
          <w:rFonts w:asciiTheme="majorBidi" w:hAnsiTheme="majorBidi" w:cstheme="majorBidi"/>
          <w:rtl/>
        </w:rPr>
        <w:t xml:space="preserve"> </w:t>
      </w:r>
      <w:r w:rsidRPr="00CC30C1">
        <w:rPr>
          <w:rFonts w:asciiTheme="majorBidi" w:hAnsiTheme="majorBidi" w:cstheme="majorBidi"/>
          <w:b/>
          <w:rtl/>
        </w:rPr>
        <w:t>קובץ שמועות אות כא</w:t>
      </w:r>
      <w:r w:rsidRPr="00CC30C1">
        <w:rPr>
          <w:rFonts w:asciiTheme="majorBidi" w:hAnsiTheme="majorBidi" w:cstheme="majorBidi"/>
          <w:rtl/>
        </w:rPr>
        <w:t>.</w:t>
      </w:r>
    </w:p>
  </w:footnote>
  <w:footnote w:id="30">
    <w:p w14:paraId="06B73DC4" w14:textId="77777777" w:rsidR="00A25B02" w:rsidRPr="00B40BDD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B40BDD">
        <w:rPr>
          <w:rStyle w:val="a5"/>
          <w:rFonts w:asciiTheme="majorBidi" w:hAnsiTheme="majorBidi" w:cstheme="majorBidi"/>
        </w:rPr>
        <w:footnoteRef/>
      </w:r>
      <w:r w:rsidRPr="00B40BDD"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תבואות שור, יו"ד</w:t>
      </w:r>
      <w:r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כג</w:t>
      </w:r>
      <w:r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ס"ק א</w:t>
      </w:r>
      <w:r>
        <w:rPr>
          <w:rFonts w:asciiTheme="majorBidi" w:hAnsiTheme="majorBidi" w:cstheme="majorBidi"/>
          <w:rtl/>
        </w:rPr>
        <w:t>.</w:t>
      </w:r>
    </w:p>
  </w:footnote>
  <w:footnote w:id="31">
    <w:p w14:paraId="3EC934B6" w14:textId="77777777" w:rsidR="00A25B02" w:rsidRPr="00B40BDD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B40BDD">
        <w:rPr>
          <w:rStyle w:val="a5"/>
          <w:rFonts w:asciiTheme="majorBidi" w:hAnsiTheme="majorBidi" w:cstheme="majorBidi"/>
        </w:rPr>
        <w:footnoteRef/>
      </w:r>
      <w:r w:rsidRPr="00B40BDD"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פרי מגדים, שפתי דעת יו"ד</w:t>
      </w:r>
      <w:r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כג ס"ק ב.</w:t>
      </w:r>
    </w:p>
  </w:footnote>
  <w:footnote w:id="32">
    <w:p w14:paraId="47F7FFE9" w14:textId="77777777" w:rsidR="00A25B02" w:rsidRPr="00B40BDD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B40BDD">
        <w:rPr>
          <w:rStyle w:val="a5"/>
          <w:rFonts w:asciiTheme="majorBidi" w:hAnsiTheme="majorBidi" w:cstheme="majorBidi"/>
        </w:rPr>
        <w:footnoteRef/>
      </w:r>
      <w:r w:rsidRPr="00B40BDD"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שמלה חדשה</w:t>
      </w:r>
      <w:r>
        <w:rPr>
          <w:rFonts w:asciiTheme="majorBidi" w:hAnsiTheme="majorBidi" w:cstheme="majorBidi" w:hint="cs"/>
          <w:rtl/>
        </w:rPr>
        <w:t>,</w:t>
      </w:r>
      <w:r w:rsidRPr="00B40BDD">
        <w:rPr>
          <w:rFonts w:asciiTheme="majorBidi" w:hAnsiTheme="majorBidi" w:cstheme="majorBidi"/>
          <w:rtl/>
        </w:rPr>
        <w:t xml:space="preserve"> יו"ד כג</w:t>
      </w:r>
      <w:r>
        <w:rPr>
          <w:rFonts w:asciiTheme="majorBidi" w:hAnsiTheme="majorBidi" w:cstheme="majorBidi"/>
          <w:rtl/>
        </w:rPr>
        <w:t xml:space="preserve"> </w:t>
      </w:r>
      <w:r w:rsidRPr="00B40BDD">
        <w:rPr>
          <w:rFonts w:asciiTheme="majorBidi" w:hAnsiTheme="majorBidi" w:cstheme="majorBidi"/>
          <w:rtl/>
        </w:rPr>
        <w:t>ס"ק א.</w:t>
      </w:r>
    </w:p>
  </w:footnote>
  <w:footnote w:id="33">
    <w:p w14:paraId="102166AA" w14:textId="77777777" w:rsidR="00A25B02" w:rsidRPr="00A566C8" w:rsidRDefault="00A25B02" w:rsidP="00A25B0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A566C8">
        <w:rPr>
          <w:rStyle w:val="a5"/>
          <w:rFonts w:asciiTheme="majorBidi" w:hAnsiTheme="majorBidi" w:cstheme="majorBidi"/>
        </w:rPr>
        <w:footnoteRef/>
      </w:r>
      <w:r w:rsidRPr="00A566C8">
        <w:rPr>
          <w:rFonts w:asciiTheme="majorBidi" w:hAnsiTheme="majorBidi" w:cstheme="majorBidi"/>
          <w:rtl/>
        </w:rPr>
        <w:t xml:space="preserve"> </w:t>
      </w:r>
      <w:r w:rsidRPr="00A566C8">
        <w:rPr>
          <w:rFonts w:asciiTheme="majorBidi" w:hAnsiTheme="majorBidi" w:cstheme="majorBidi"/>
          <w:rtl/>
        </w:rPr>
        <w:t>הרוגאצ'ובר, מובא ב'אישים ושיטות' לרב זוין, עמ</w:t>
      </w:r>
      <w:r>
        <w:rPr>
          <w:rFonts w:asciiTheme="majorBidi" w:hAnsiTheme="majorBidi" w:cstheme="majorBidi" w:hint="cs"/>
          <w:rtl/>
        </w:rPr>
        <w:t>'</w:t>
      </w:r>
      <w:r w:rsidRPr="00A566C8">
        <w:rPr>
          <w:rFonts w:asciiTheme="majorBidi" w:hAnsiTheme="majorBidi" w:cstheme="majorBidi"/>
          <w:rtl/>
        </w:rPr>
        <w:t xml:space="preserve"> 256, שם הוא גם מציין לתשובת הרב קוק המובאת כאן.</w:t>
      </w:r>
    </w:p>
  </w:footnote>
  <w:footnote w:id="34">
    <w:p w14:paraId="6C6C3324" w14:textId="77777777" w:rsidR="00A25B02" w:rsidRPr="000E59A6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0"/>
          <w:szCs w:val="20"/>
        </w:rPr>
      </w:pPr>
      <w:r w:rsidRPr="000E59A6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0E59A6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  <w:rtl/>
        </w:rPr>
        <w:t>דעת כהן שחיטה  א.</w:t>
      </w:r>
    </w:p>
  </w:footnote>
  <w:footnote w:id="35">
    <w:p w14:paraId="0DF2CC70" w14:textId="77777777" w:rsidR="00A25B02" w:rsidRPr="00402C55" w:rsidRDefault="00A25B02" w:rsidP="00A25B02">
      <w:pPr>
        <w:pStyle w:val="a3"/>
        <w:spacing w:line="360" w:lineRule="auto"/>
        <w:rPr>
          <w:rtl/>
        </w:rPr>
      </w:pPr>
      <w:r w:rsidRPr="00402C55">
        <w:rPr>
          <w:rStyle w:val="a5"/>
        </w:rPr>
        <w:footnoteRef/>
      </w:r>
      <w:r w:rsidRPr="00402C55">
        <w:rPr>
          <w:rtl/>
        </w:rPr>
        <w:t xml:space="preserve"> </w:t>
      </w:r>
      <w:r>
        <w:rPr>
          <w:rFonts w:ascii="David" w:hAnsi="David" w:cs="David" w:hint="cs"/>
          <w:color w:val="000000"/>
          <w:rtl/>
        </w:rPr>
        <w:t>"</w:t>
      </w:r>
      <w:r w:rsidRPr="00402C55">
        <w:rPr>
          <w:rFonts w:ascii="David" w:hAnsi="David" w:cs="David"/>
          <w:color w:val="000000"/>
          <w:rtl/>
        </w:rPr>
        <w:t>ומזה למדנו ענין בדיקת סכין לחכם בפ"ק דחולין ד</w:t>
      </w:r>
      <w:r w:rsidRPr="00402C55">
        <w:rPr>
          <w:rFonts w:ascii="David" w:hAnsi="David" w:cs="David" w:hint="cs"/>
          <w:color w:val="000000"/>
          <w:rtl/>
        </w:rPr>
        <w:t xml:space="preserve">ף </w:t>
      </w:r>
      <w:r w:rsidRPr="00402C55">
        <w:rPr>
          <w:rFonts w:ascii="David" w:hAnsi="David" w:cs="David"/>
          <w:color w:val="000000"/>
          <w:rtl/>
        </w:rPr>
        <w:t>י"ז ב</w:t>
      </w:r>
      <w:r>
        <w:rPr>
          <w:rFonts w:hint="cs"/>
          <w:rtl/>
        </w:rPr>
        <w:t>"</w:t>
      </w:r>
      <w:r w:rsidRPr="00402C55">
        <w:rPr>
          <w:rFonts w:hint="cs"/>
          <w:rtl/>
        </w:rPr>
        <w:t xml:space="preserve"> </w:t>
      </w:r>
      <w:r w:rsidRPr="00402C55">
        <w:rPr>
          <w:rFonts w:asciiTheme="majorBidi" w:hAnsiTheme="majorBidi" w:cstheme="majorBidi"/>
          <w:rtl/>
        </w:rPr>
        <w:t>(</w:t>
      </w:r>
      <w:r>
        <w:rPr>
          <w:rFonts w:asciiTheme="majorBidi" w:hAnsiTheme="majorBidi" w:cstheme="majorBidi" w:hint="cs"/>
          <w:rtl/>
        </w:rPr>
        <w:t>שם</w:t>
      </w:r>
      <w:r w:rsidRPr="00402C55">
        <w:rPr>
          <w:rFonts w:asciiTheme="majorBidi" w:hAnsiTheme="majorBidi" w:cstheme="majorBidi"/>
          <w:rtl/>
        </w:rPr>
        <w:t>).</w:t>
      </w:r>
      <w:r w:rsidRPr="00402C55">
        <w:rPr>
          <w:rFonts w:hint="cs"/>
          <w:rtl/>
        </w:rPr>
        <w:t xml:space="preserve"> </w:t>
      </w:r>
      <w:r w:rsidRPr="00402C55">
        <w:rPr>
          <w:rFonts w:asciiTheme="majorBidi" w:hAnsiTheme="majorBidi" w:cstheme="majorBidi"/>
          <w:rtl/>
        </w:rPr>
        <w:t>כלומר: מפסוקים אלו למדו</w:t>
      </w:r>
      <w:r>
        <w:rPr>
          <w:rFonts w:hint="cs"/>
          <w:rtl/>
        </w:rPr>
        <w:t xml:space="preserve"> </w:t>
      </w:r>
      <w:r w:rsidRPr="00CD7C15">
        <w:rPr>
          <w:rFonts w:asciiTheme="majorBidi" w:hAnsiTheme="majorBidi" w:cstheme="majorBidi"/>
          <w:rtl/>
        </w:rPr>
        <w:t>בגמרא:</w:t>
      </w:r>
    </w:p>
    <w:p w14:paraId="3699AEF1" w14:textId="77777777" w:rsidR="00A25B02" w:rsidRPr="00402C55" w:rsidRDefault="00A25B02" w:rsidP="00A25B02">
      <w:pPr>
        <w:pStyle w:val="a3"/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"</w:t>
      </w:r>
      <w:r w:rsidRPr="00402C55">
        <w:rPr>
          <w:rFonts w:ascii="David" w:hAnsi="David" w:cs="David"/>
          <w:rtl/>
        </w:rPr>
        <w:t>אמר רב חסדא: מנין לבדיקת סכין מן התורה? שנאמר: ושחטתם בזה ואכלתם</w:t>
      </w:r>
      <w:r>
        <w:rPr>
          <w:rFonts w:ascii="David" w:hAnsi="David" w:cs="David" w:hint="cs"/>
          <w:rtl/>
        </w:rPr>
        <w:t xml:space="preserve">". </w:t>
      </w:r>
      <w:r w:rsidRPr="00402C55">
        <w:rPr>
          <w:rFonts w:asciiTheme="majorBidi" w:hAnsiTheme="majorBidi" w:cstheme="majorBidi"/>
          <w:rtl/>
        </w:rPr>
        <w:t>אם כן</w:t>
      </w:r>
      <w:r>
        <w:rPr>
          <w:rFonts w:asciiTheme="majorBidi" w:hAnsiTheme="majorBidi" w:cstheme="majorBidi" w:hint="cs"/>
          <w:rtl/>
        </w:rPr>
        <w:t>,</w:t>
      </w:r>
      <w:r w:rsidRPr="00402C55">
        <w:rPr>
          <w:rFonts w:asciiTheme="majorBidi" w:hAnsiTheme="majorBidi" w:cstheme="majorBidi"/>
          <w:rtl/>
        </w:rPr>
        <w:t xml:space="preserve"> ניתן ללמוד מכאן הלכות שחיטה.</w:t>
      </w:r>
    </w:p>
  </w:footnote>
  <w:footnote w:id="36">
    <w:p w14:paraId="40D92D9D" w14:textId="77777777" w:rsidR="00A25B02" w:rsidRPr="00A56497" w:rsidRDefault="00A25B02" w:rsidP="00A25B02">
      <w:pPr>
        <w:pStyle w:val="a3"/>
        <w:rPr>
          <w:rFonts w:asciiTheme="majorBidi" w:hAnsiTheme="majorBidi" w:cstheme="majorBidi"/>
          <w:b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A56497">
        <w:rPr>
          <w:rFonts w:asciiTheme="majorBidi" w:hAnsiTheme="majorBidi" w:cstheme="majorBidi"/>
          <w:b/>
          <w:rtl/>
        </w:rPr>
        <w:t>שמואל א פרק יד.</w:t>
      </w:r>
    </w:p>
  </w:footnote>
  <w:footnote w:id="37">
    <w:p w14:paraId="66B7C69C" w14:textId="77777777" w:rsidR="00A25B02" w:rsidRPr="00CD7C15" w:rsidRDefault="00A25B02" w:rsidP="00A25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CD7C15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CD7C1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D7C15">
        <w:rPr>
          <w:rFonts w:asciiTheme="majorBidi" w:hAnsiTheme="majorBidi" w:cstheme="majorBidi"/>
          <w:color w:val="000000"/>
          <w:sz w:val="20"/>
          <w:szCs w:val="20"/>
          <w:rtl/>
        </w:rPr>
        <w:t>דרכי תשובה יו"ד כד ס"ק מב.</w:t>
      </w:r>
    </w:p>
    <w:p w14:paraId="334B4210" w14:textId="77777777" w:rsidR="00A25B02" w:rsidRDefault="00A25B02" w:rsidP="00A25B0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1DD9"/>
    <w:multiLevelType w:val="hybridMultilevel"/>
    <w:tmpl w:val="B524989A"/>
    <w:lvl w:ilvl="0" w:tplc="FA9CC7E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A7"/>
    <w:rsid w:val="001A411B"/>
    <w:rsid w:val="002A32D5"/>
    <w:rsid w:val="00A25B02"/>
    <w:rsid w:val="00E11765"/>
    <w:rsid w:val="00F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A0E2"/>
  <w15:chartTrackingRefBased/>
  <w15:docId w15:val="{D2102EC8-8014-446B-B33B-A10D11C7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B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5B02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A25B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B02"/>
    <w:rPr>
      <w:vertAlign w:val="superscript"/>
    </w:rPr>
  </w:style>
  <w:style w:type="paragraph" w:styleId="a6">
    <w:name w:val="List Paragraph"/>
    <w:basedOn w:val="a"/>
    <w:uiPriority w:val="34"/>
    <w:qFormat/>
    <w:rsid w:val="00A25B02"/>
    <w:pPr>
      <w:ind w:left="720"/>
      <w:contextualSpacing/>
    </w:pPr>
  </w:style>
  <w:style w:type="table" w:styleId="a7">
    <w:name w:val="Table Grid"/>
    <w:basedOn w:val="a1"/>
    <w:uiPriority w:val="39"/>
    <w:rsid w:val="00A25B02"/>
    <w:pPr>
      <w:bidi w:val="0"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2026-03-16T12:04:00Z</dcterms:created>
  <dcterms:modified xsi:type="dcterms:W3CDTF">2026-03-16T12:04:00Z</dcterms:modified>
</cp:coreProperties>
</file>